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C93C4">
      <w:pPr>
        <w:tabs>
          <w:tab w:val="right" w:pos="8730"/>
        </w:tabs>
        <w:spacing w:line="580" w:lineRule="exact"/>
        <w:outlineLvl w:val="0"/>
        <w:rPr>
          <w:rFonts w:hint="eastAsia" w:ascii="黑体" w:hAnsi="黑体" w:eastAsia="黑体"/>
          <w:color w:val="000000"/>
          <w:szCs w:val="32"/>
          <w:lang w:val="en-US" w:eastAsia="zh-CN"/>
        </w:rPr>
      </w:pPr>
      <w:r>
        <w:rPr>
          <w:rFonts w:hint="eastAsia" w:ascii="黑体" w:hAnsi="黑体" w:eastAsia="黑体"/>
          <w:color w:val="000000"/>
          <w:szCs w:val="32"/>
        </w:rPr>
        <w:t>附件4</w:t>
      </w:r>
    </w:p>
    <w:p w14:paraId="6D5D79E7">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2" w:type="dxa"/>
            <w:tcBorders>
              <w:tl2br w:val="nil"/>
              <w:tr2bl w:val="nil"/>
            </w:tcBorders>
            <w:vAlign w:val="center"/>
          </w:tcPr>
          <w:p w14:paraId="3D56D54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14:paraId="5609971C">
            <w:pPr>
              <w:spacing w:line="240" w:lineRule="exact"/>
              <w:ind w:firstLine="0" w:firstLineChars="0"/>
              <w:jc w:val="left"/>
              <w:rPr>
                <w:rFonts w:hint="eastAsia" w:ascii="仿宋" w:hAnsi="仿宋" w:eastAsia="仿宋" w:cs="仿宋"/>
                <w:color w:val="000000"/>
                <w:sz w:val="21"/>
                <w:szCs w:val="15"/>
              </w:rPr>
            </w:pPr>
            <w:r>
              <w:rPr>
                <w:rFonts w:hint="eastAsia" w:ascii="仿宋" w:hAnsi="仿宋" w:eastAsia="仿宋" w:cs="仿宋"/>
                <w:color w:val="000000"/>
                <w:sz w:val="24"/>
                <w:szCs w:val="18"/>
              </w:rPr>
              <w:t>看“一人公司”如何“孵化”！探访中关村AI北纬社区OPC——</w:t>
            </w:r>
          </w:p>
        </w:tc>
        <w:tc>
          <w:tcPr>
            <w:tcW w:w="1819" w:type="dxa"/>
            <w:gridSpan w:val="2"/>
            <w:tcBorders>
              <w:tl2br w:val="nil"/>
              <w:tr2bl w:val="nil"/>
            </w:tcBorders>
            <w:vAlign w:val="center"/>
          </w:tcPr>
          <w:p w14:paraId="4D0A6EB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14:paraId="648297C0">
            <w:pPr>
              <w:spacing w:line="240" w:lineRule="exact"/>
              <w:ind w:firstLine="0" w:firstLineChars="0"/>
              <w:rPr>
                <w:rFonts w:hint="eastAsia" w:ascii="仿宋" w:hAnsi="仿宋" w:eastAsia="仿宋" w:cs="仿宋"/>
                <w:bCs w:val="0"/>
                <w:color w:val="000000"/>
                <w:sz w:val="21"/>
                <w:szCs w:val="15"/>
                <w:lang w:val="en-US" w:eastAsia="zh-CN"/>
              </w:rPr>
            </w:pPr>
            <w:r>
              <w:rPr>
                <w:rFonts w:hint="eastAsia" w:ascii="仿宋" w:hAnsi="仿宋" w:eastAsia="仿宋" w:cs="仿宋"/>
                <w:bCs w:val="0"/>
                <w:color w:val="000000"/>
                <w:sz w:val="21"/>
                <w:szCs w:val="15"/>
                <w:lang w:val="en-US" w:eastAsia="zh-CN"/>
              </w:rPr>
              <w:t>通讯</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14:paraId="78038E3E">
            <w:pPr>
              <w:spacing w:line="240" w:lineRule="exact"/>
              <w:ind w:firstLine="0" w:firstLineChars="0"/>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3075字</w:t>
            </w:r>
          </w:p>
        </w:tc>
        <w:tc>
          <w:tcPr>
            <w:tcW w:w="1819" w:type="dxa"/>
            <w:gridSpan w:val="2"/>
            <w:tcBorders>
              <w:tl2br w:val="nil"/>
              <w:tr2bl w:val="nil"/>
            </w:tcBorders>
            <w:vAlign w:val="center"/>
          </w:tcPr>
          <w:p w14:paraId="3B74E81B">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14:paraId="0EF9348B">
            <w:pPr>
              <w:spacing w:line="240" w:lineRule="exact"/>
              <w:ind w:firstLine="0" w:firstLineChars="0"/>
              <w:rPr>
                <w:rFonts w:hint="eastAsia"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通讯</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spacing w:line="320" w:lineRule="exact"/>
              <w:jc w:val="center"/>
              <w:rPr>
                <w:rFonts w:hint="eastAsia" w:ascii="华文中宋" w:hAnsi="华文中宋" w:eastAsia="华文中宋"/>
                <w:color w:val="000000"/>
                <w:sz w:val="28"/>
              </w:rPr>
            </w:pPr>
          </w:p>
        </w:tc>
        <w:tc>
          <w:tcPr>
            <w:tcW w:w="3728" w:type="dxa"/>
            <w:gridSpan w:val="4"/>
            <w:vMerge w:val="continue"/>
            <w:tcBorders>
              <w:tl2br w:val="nil"/>
              <w:tr2bl w:val="nil"/>
            </w:tcBorders>
            <w:vAlign w:val="center"/>
          </w:tcPr>
          <w:p w14:paraId="0A8AF4DF">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14:paraId="0FE0B5D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14:paraId="3AAC3CF0">
            <w:pPr>
              <w:spacing w:line="240" w:lineRule="exact"/>
              <w:ind w:firstLine="0" w:firstLineChars="0"/>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中文</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39E259F9">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14:paraId="7453BB5E">
            <w:pPr>
              <w:spacing w:line="240" w:lineRule="exact"/>
              <w:ind w:firstLine="0" w:firstLineChars="0"/>
              <w:rPr>
                <w:rFonts w:hint="eastAsia" w:ascii="华文中宋" w:hAnsi="华文中宋" w:eastAsia="华文中宋"/>
                <w:color w:val="000000"/>
                <w:sz w:val="21"/>
                <w:szCs w:val="21"/>
                <w:lang w:val="en-US" w:eastAsia="zh-CN"/>
              </w:rPr>
            </w:pPr>
            <w:r>
              <w:rPr>
                <w:rFonts w:hint="eastAsia" w:ascii="仿宋" w:hAnsi="仿宋" w:eastAsia="仿宋" w:cs="仿宋"/>
                <w:color w:val="000000"/>
                <w:sz w:val="21"/>
                <w:szCs w:val="15"/>
                <w:lang w:val="en-US" w:eastAsia="zh-CN"/>
              </w:rPr>
              <w:t>张东旭、卫东、倪恒虎</w:t>
            </w:r>
          </w:p>
        </w:tc>
        <w:tc>
          <w:tcPr>
            <w:tcW w:w="1819" w:type="dxa"/>
            <w:gridSpan w:val="2"/>
            <w:tcBorders>
              <w:tl2br w:val="nil"/>
              <w:tr2bl w:val="nil"/>
            </w:tcBorders>
            <w:vAlign w:val="center"/>
          </w:tcPr>
          <w:p w14:paraId="4B47EE1F">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14:paraId="21870789">
            <w:pPr>
              <w:spacing w:line="240" w:lineRule="exact"/>
              <w:ind w:firstLine="0" w:firstLineChars="0"/>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旭日、向文娟</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14:paraId="4A51632B">
            <w:pPr>
              <w:spacing w:line="260" w:lineRule="exact"/>
              <w:ind w:firstLine="0"/>
              <w:rPr>
                <w:rFonts w:hint="default" w:ascii="方正仿宋_GB2312" w:hAnsi="仿宋" w:eastAsia="方正仿宋_GB2312"/>
                <w:color w:val="000000"/>
                <w:szCs w:val="21"/>
                <w:lang w:val="en-US" w:eastAsia="zh-CN"/>
              </w:rPr>
            </w:pPr>
            <w:r>
              <w:rPr>
                <w:rFonts w:hint="eastAsia" w:ascii="方正仿宋_GB2312" w:hAnsi="仿宋"/>
                <w:color w:val="000000"/>
                <w:sz w:val="21"/>
                <w:szCs w:val="21"/>
                <w:lang w:val="en-US" w:eastAsia="zh-CN"/>
              </w:rPr>
              <w:t>北京市海淀区融媒体中心</w:t>
            </w:r>
          </w:p>
        </w:tc>
        <w:tc>
          <w:tcPr>
            <w:tcW w:w="1819" w:type="dxa"/>
            <w:gridSpan w:val="2"/>
            <w:tcBorders>
              <w:tl2br w:val="nil"/>
              <w:tr2bl w:val="nil"/>
            </w:tcBorders>
            <w:vAlign w:val="center"/>
          </w:tcPr>
          <w:p w14:paraId="1916C51B">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14:paraId="1B3ABACD">
            <w:pPr>
              <w:spacing w:line="240" w:lineRule="exact"/>
              <w:ind w:firstLine="0" w:firstLineChars="0"/>
              <w:rPr>
                <w:rFonts w:hint="default" w:ascii="仿宋" w:hAnsi="仿宋" w:eastAsia="仿宋" w:cs="仿宋"/>
                <w:color w:val="000000"/>
                <w:sz w:val="21"/>
                <w:szCs w:val="15"/>
                <w:highlight w:val="none"/>
                <w:lang w:val="en-US" w:eastAsia="zh-CN"/>
              </w:rPr>
            </w:pPr>
            <w:r>
              <w:rPr>
                <w:rFonts w:hint="eastAsia" w:ascii="仿宋" w:hAnsi="仿宋" w:eastAsia="仿宋" w:cs="仿宋"/>
                <w:color w:val="000000"/>
                <w:sz w:val="21"/>
                <w:szCs w:val="15"/>
                <w:highlight w:val="none"/>
                <w:lang w:eastAsia="zh-CN"/>
              </w:rPr>
              <w:t>“</w:t>
            </w:r>
            <w:r>
              <w:rPr>
                <w:rFonts w:hint="eastAsia" w:ascii="仿宋" w:hAnsi="仿宋" w:eastAsia="仿宋" w:cs="仿宋"/>
                <w:color w:val="000000"/>
                <w:sz w:val="21"/>
                <w:szCs w:val="15"/>
                <w:highlight w:val="none"/>
                <w:lang w:val="en-US" w:eastAsia="zh-CN"/>
              </w:rPr>
              <w:t>北京海淀”微信公众号</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exact"/>
        </w:trPr>
        <w:tc>
          <w:tcPr>
            <w:tcW w:w="1504" w:type="dxa"/>
            <w:gridSpan w:val="2"/>
            <w:tcBorders>
              <w:tl2br w:val="nil"/>
              <w:tr2bl w:val="nil"/>
            </w:tcBorders>
            <w:vAlign w:val="center"/>
          </w:tcPr>
          <w:p w14:paraId="04B8C04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3"/>
            <w:tcBorders>
              <w:tl2br w:val="nil"/>
              <w:tr2bl w:val="nil"/>
            </w:tcBorders>
            <w:vAlign w:val="center"/>
          </w:tcPr>
          <w:p w14:paraId="06FC5C4D">
            <w:pPr>
              <w:spacing w:line="260" w:lineRule="exact"/>
              <w:rPr>
                <w:rFonts w:ascii="方正仿宋_GB2312" w:hAnsi="仿宋"/>
                <w:color w:val="000000"/>
                <w:szCs w:val="21"/>
              </w:rPr>
            </w:pPr>
          </w:p>
        </w:tc>
        <w:tc>
          <w:tcPr>
            <w:tcW w:w="872" w:type="dxa"/>
            <w:tcBorders>
              <w:tl2br w:val="nil"/>
              <w:tr2bl w:val="nil"/>
            </w:tcBorders>
            <w:vAlign w:val="center"/>
          </w:tcPr>
          <w:p w14:paraId="1A6D9E8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4"/>
            <w:tcBorders>
              <w:tl2br w:val="nil"/>
              <w:tr2bl w:val="nil"/>
            </w:tcBorders>
            <w:vAlign w:val="center"/>
          </w:tcPr>
          <w:p w14:paraId="7A66C554">
            <w:pPr>
              <w:spacing w:line="260" w:lineRule="exact"/>
              <w:rPr>
                <w:rFonts w:hint="default" w:ascii="方正仿宋_GB2312" w:hAnsi="仿宋"/>
                <w:color w:val="000000"/>
                <w:szCs w:val="21"/>
                <w:lang w:val="en-US"/>
              </w:rPr>
            </w:pPr>
            <w:r>
              <w:rPr>
                <w:rFonts w:hint="eastAsia" w:ascii="仿宋" w:hAnsi="仿宋" w:eastAsia="仿宋" w:cs="仿宋"/>
                <w:color w:val="000000"/>
                <w:sz w:val="21"/>
                <w:szCs w:val="15"/>
                <w:lang w:val="en-US" w:eastAsia="zh-CN"/>
              </w:rPr>
              <w:t>2025年12月22日14：24</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2"/>
            <w:tcBorders>
              <w:tl2br w:val="nil"/>
              <w:tr2bl w:val="nil"/>
            </w:tcBorders>
            <w:vAlign w:val="center"/>
          </w:tcPr>
          <w:p w14:paraId="2FC99FA4">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14:paraId="32F6A552">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5"/>
            <w:tcBorders>
              <w:tl2br w:val="nil"/>
              <w:tr2bl w:val="nil"/>
            </w:tcBorders>
            <w:vAlign w:val="center"/>
          </w:tcPr>
          <w:p w14:paraId="78E7ED31">
            <w:pPr>
              <w:spacing w:line="260" w:lineRule="exact"/>
              <w:rPr>
                <w:rFonts w:hint="eastAsia" w:ascii="华文中宋" w:hAnsi="华文中宋" w:eastAsia="华文中宋"/>
                <w:color w:val="000000"/>
                <w:sz w:val="28"/>
              </w:rPr>
            </w:pPr>
            <w:r>
              <w:rPr>
                <w:rFonts w:hint="eastAsia" w:ascii="仿宋" w:hAnsi="仿宋" w:eastAsia="仿宋" w:cs="仿宋"/>
                <w:color w:val="000000"/>
                <w:sz w:val="21"/>
                <w:szCs w:val="15"/>
              </w:rPr>
              <w:t>https://mp.weixin.qq.com/s/kNF4fYotOlVRDOhNv8dVJg</w:t>
            </w:r>
          </w:p>
        </w:tc>
        <w:tc>
          <w:tcPr>
            <w:tcW w:w="1742" w:type="dxa"/>
            <w:gridSpan w:val="2"/>
            <w:tcBorders>
              <w:tl2br w:val="nil"/>
              <w:tr2bl w:val="nil"/>
            </w:tcBorders>
            <w:vAlign w:val="center"/>
          </w:tcPr>
          <w:p w14:paraId="79A0CB2B">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60" w:lineRule="exact"/>
              <w:rPr>
                <w:rFonts w:hint="eastAsia" w:ascii="华文中宋" w:hAnsi="华文中宋" w:eastAsia="华文中宋"/>
                <w:color w:val="000000"/>
                <w:sz w:val="28"/>
                <w:lang w:val="en-US" w:eastAsia="zh-CN"/>
              </w:rPr>
            </w:pPr>
            <w:r>
              <w:rPr>
                <w:rFonts w:hint="eastAsia" w:ascii="仿宋" w:hAnsi="仿宋" w:eastAsia="仿宋" w:cs="仿宋"/>
                <w:b w:val="0"/>
                <w:bCs w:val="0"/>
                <w:color w:val="000000"/>
                <w:sz w:val="21"/>
                <w:szCs w:val="21"/>
                <w:lang w:val="en-US" w:eastAsia="zh-CN"/>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2" w:type="dxa"/>
            <w:tcBorders>
              <w:tl2br w:val="nil"/>
              <w:tr2bl w:val="nil"/>
            </w:tcBorders>
            <w:vAlign w:val="center"/>
          </w:tcPr>
          <w:p w14:paraId="3869C97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4D61922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3317C9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55AC629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9"/>
            <w:tcBorders>
              <w:tl2br w:val="nil"/>
              <w:tr2bl w:val="nil"/>
            </w:tcBorders>
            <w:vAlign w:val="center"/>
          </w:tcPr>
          <w:p w14:paraId="12135BA1">
            <w:pPr>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rPr>
              <w:t>《中共中央关于制定国民经济和社会发展第十五个五年规划的建议》多处提及创业，如“发展创业投资”“支持青年科技人才创新创业”“加大创业支持力度，增强创业带动就业效应”等。随着人工智能的发展，OPC（一人公司）创业模式在全球范围内都变得空前活跃，国内多地推出OPC社区扶持创业。海淀区人工智能企业</w:t>
            </w:r>
            <w:r>
              <w:rPr>
                <w:rFonts w:hint="eastAsia" w:ascii="仿宋" w:hAnsi="仿宋" w:eastAsia="仿宋" w:cs="仿宋"/>
                <w:color w:val="000000"/>
                <w:sz w:val="21"/>
                <w:szCs w:val="21"/>
                <w:lang w:val="en-US" w:eastAsia="zh-CN"/>
              </w:rPr>
              <w:t>近</w:t>
            </w:r>
            <w:r>
              <w:rPr>
                <w:rFonts w:hint="eastAsia" w:ascii="仿宋" w:hAnsi="仿宋" w:eastAsia="仿宋" w:cs="仿宋"/>
                <w:color w:val="000000"/>
                <w:sz w:val="21"/>
                <w:szCs w:val="21"/>
              </w:rPr>
              <w:t>2000家，人工智能学者1.23万名，人工智能OPC创业具有很强的代表性。</w:t>
            </w:r>
          </w:p>
          <w:p w14:paraId="755233F1">
            <w:pPr>
              <w:ind w:firstLine="420" w:firstLineChars="200"/>
              <w:rPr>
                <w:rFonts w:hint="eastAsia" w:ascii="仿宋" w:hAnsi="仿宋" w:eastAsia="仿宋"/>
                <w:color w:val="000000"/>
                <w:w w:val="95"/>
                <w:sz w:val="21"/>
                <w:szCs w:val="21"/>
              </w:rPr>
            </w:pPr>
            <w:r>
              <w:rPr>
                <w:rFonts w:hint="eastAsia" w:ascii="仿宋" w:hAnsi="仿宋" w:eastAsia="仿宋" w:cs="仿宋"/>
                <w:color w:val="000000"/>
                <w:sz w:val="21"/>
                <w:szCs w:val="21"/>
              </w:rPr>
              <w:t>本文记者选取中关村AI北纬社区，深入采访OPC创业者、孵化器、服务平台等多方代表，挖掘OPC创业模式的特点，为政学产研金服用等各方了解OPC、支持OPC提供了一个参考的样本，在全国引发广泛关注，</w:t>
            </w:r>
            <w:r>
              <w:rPr>
                <w:rFonts w:hint="eastAsia" w:ascii="仿宋" w:hAnsi="仿宋" w:eastAsia="仿宋" w:cs="仿宋"/>
                <w:color w:val="000000"/>
                <w:sz w:val="21"/>
                <w:szCs w:val="21"/>
                <w:lang w:val="en-US" w:eastAsia="zh-CN"/>
              </w:rPr>
              <w:t>有力助推</w:t>
            </w:r>
            <w:r>
              <w:rPr>
                <w:rFonts w:hint="eastAsia" w:ascii="仿宋" w:hAnsi="仿宋" w:eastAsia="仿宋" w:cs="仿宋"/>
                <w:color w:val="000000"/>
                <w:sz w:val="21"/>
                <w:szCs w:val="21"/>
              </w:rPr>
              <w:t>OPC热潮。文章刊发后，新华社、《央视新闻》、央视网、《工人日报》、《法治周末》、《北京日报》、北京广播电视台《北京新闻》、《北京晚报》等中央和北京市级媒体持续前往中关村A</w:t>
            </w:r>
            <w:r>
              <w:rPr>
                <w:rFonts w:hint="eastAsia" w:ascii="仿宋" w:hAnsi="仿宋" w:eastAsia="仿宋" w:cs="仿宋"/>
                <w:color w:val="000000"/>
                <w:sz w:val="21"/>
                <w:szCs w:val="21"/>
                <w:lang w:val="en-US" w:eastAsia="zh-CN"/>
              </w:rPr>
              <w:t>I</w:t>
            </w:r>
            <w:r>
              <w:rPr>
                <w:rFonts w:hint="eastAsia" w:ascii="仿宋" w:hAnsi="仿宋" w:eastAsia="仿宋" w:cs="仿宋"/>
                <w:color w:val="000000"/>
                <w:sz w:val="21"/>
                <w:szCs w:val="21"/>
              </w:rPr>
              <w:t>北纬社区进行探访，观察OPC的兴起与未来。多家中央和省级部门前往调研，了解OPC创业者遇到的问题和困难，研究扶持方案。</w:t>
            </w:r>
            <w:r>
              <w:rPr>
                <w:rFonts w:hint="eastAsia" w:ascii="仿宋" w:hAnsi="仿宋" w:eastAsia="仿宋" w:cs="仿宋"/>
                <w:color w:val="000000"/>
                <w:sz w:val="21"/>
                <w:szCs w:val="21"/>
                <w:lang w:val="en-US" w:eastAsia="zh-CN"/>
              </w:rPr>
              <w:t>包括北京在内的全国多地出台了OPC扶持政策</w:t>
            </w:r>
            <w:r>
              <w:rPr>
                <w:rFonts w:hint="eastAsia" w:ascii="仿宋" w:hAnsi="仿宋" w:eastAsia="仿宋" w:cs="仿宋"/>
                <w:color w:val="000000"/>
                <w:sz w:val="21"/>
                <w:szCs w:val="21"/>
              </w:rPr>
              <w:t>。</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14:paraId="7BFC70BA">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14:paraId="0F6B8EA2">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14:paraId="1A867DF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14:paraId="0EFA37B9">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2"/>
            <w:tcBorders>
              <w:tl2br w:val="nil"/>
              <w:tr2bl w:val="nil"/>
            </w:tcBorders>
            <w:vAlign w:val="center"/>
          </w:tcPr>
          <w:p w14:paraId="0B930050">
            <w:pPr>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pacing w:val="-10"/>
                <w:sz w:val="24"/>
                <w:szCs w:val="18"/>
                <w:lang w:val="en-US" w:eastAsia="zh-CN"/>
              </w:rPr>
              <w:t>全</w:t>
            </w:r>
            <w:r>
              <w:rPr>
                <w:rFonts w:hint="eastAsia" w:ascii="楷体" w:hAnsi="楷体" w:eastAsia="楷体" w:cs="楷体"/>
                <w:b/>
                <w:bCs/>
                <w:color w:val="000000"/>
                <w:sz w:val="21"/>
                <w:szCs w:val="21"/>
                <w:lang w:val="en-US" w:eastAsia="zh-CN"/>
              </w:rPr>
              <w:t>网传播量最高平台</w:t>
            </w:r>
          </w:p>
          <w:p w14:paraId="436EEDCF">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7"/>
            <w:tcBorders>
              <w:tl2br w:val="nil"/>
              <w:tr2bl w:val="nil"/>
            </w:tcBorders>
            <w:vAlign w:val="center"/>
          </w:tcPr>
          <w:p w14:paraId="10EAC8E2">
            <w:pPr>
              <w:spacing w:line="280" w:lineRule="exact"/>
              <w:rPr>
                <w:rFonts w:hint="eastAsia" w:ascii="仿宋" w:hAnsi="仿宋" w:eastAsia="仿宋"/>
                <w:color w:val="000000"/>
                <w:szCs w:val="21"/>
              </w:rPr>
            </w:pPr>
            <w:r>
              <w:rPr>
                <w:rFonts w:hint="eastAsia" w:ascii="仿宋" w:hAnsi="仿宋" w:eastAsia="仿宋" w:cs="仿宋"/>
                <w:color w:val="000000"/>
                <w:spacing w:val="-6"/>
                <w:sz w:val="21"/>
                <w:szCs w:val="21"/>
                <w:lang w:bidi="ar"/>
              </w:rPr>
              <w:t>https://mp.weixin.qq.com/s/kNF4fYotOlVRDOhNv8dVJg</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5" w:hRule="exact"/>
        </w:trPr>
        <w:tc>
          <w:tcPr>
            <w:tcW w:w="992" w:type="dxa"/>
            <w:vMerge w:val="continue"/>
            <w:tcBorders>
              <w:tl2br w:val="nil"/>
              <w:tr2bl w:val="nil"/>
            </w:tcBorders>
            <w:vAlign w:val="center"/>
          </w:tcPr>
          <w:p w14:paraId="40CAB92D">
            <w:pPr>
              <w:spacing w:line="320" w:lineRule="exact"/>
              <w:jc w:val="center"/>
              <w:rPr>
                <w:rFonts w:hint="eastAsia" w:ascii="华文中宋" w:hAnsi="华文中宋" w:eastAsia="华文中宋"/>
                <w:color w:val="000000"/>
                <w:sz w:val="28"/>
              </w:rPr>
            </w:pPr>
          </w:p>
        </w:tc>
        <w:tc>
          <w:tcPr>
            <w:tcW w:w="1400" w:type="dxa"/>
            <w:gridSpan w:val="2"/>
            <w:tcBorders>
              <w:tl2br w:val="nil"/>
              <w:tr2bl w:val="nil"/>
            </w:tcBorders>
            <w:shd w:val="clear" w:color="auto" w:fill="auto"/>
            <w:vAlign w:val="center"/>
          </w:tcPr>
          <w:p w14:paraId="359C1F0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0CD586AA">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tcBorders>
              <w:tl2br w:val="nil"/>
              <w:tr2bl w:val="nil"/>
            </w:tcBorders>
            <w:shd w:val="clear" w:color="auto" w:fill="auto"/>
            <w:vAlign w:val="center"/>
          </w:tcPr>
          <w:p w14:paraId="769BF1DC">
            <w:pPr>
              <w:spacing w:line="240" w:lineRule="exact"/>
              <w:rPr>
                <w:rFonts w:hint="default" w:ascii="仿宋" w:hAnsi="仿宋" w:eastAsia="仿宋" w:cstheme="minorBidi"/>
                <w:color w:val="000000"/>
                <w:kern w:val="2"/>
                <w:sz w:val="21"/>
                <w:szCs w:val="21"/>
                <w:lang w:val="en-US" w:eastAsia="zh-CN" w:bidi="ar-SA"/>
              </w:rPr>
            </w:pPr>
            <w:r>
              <w:rPr>
                <w:rFonts w:hint="eastAsia" w:ascii="仿宋" w:hAnsi="仿宋" w:eastAsia="仿宋" w:cstheme="minorBidi"/>
                <w:color w:val="000000"/>
                <w:kern w:val="2"/>
                <w:sz w:val="21"/>
                <w:szCs w:val="21"/>
                <w:lang w:val="en-US" w:eastAsia="zh-CN" w:bidi="ar-SA"/>
              </w:rPr>
              <w:t>2668</w:t>
            </w:r>
          </w:p>
        </w:tc>
        <w:tc>
          <w:tcPr>
            <w:tcW w:w="1005" w:type="dxa"/>
            <w:tcBorders>
              <w:tl2br w:val="nil"/>
              <w:tr2bl w:val="nil"/>
            </w:tcBorders>
            <w:shd w:val="clear" w:color="auto" w:fill="auto"/>
            <w:vAlign w:val="center"/>
          </w:tcPr>
          <w:p w14:paraId="40B3F7F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579A7769">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3"/>
            <w:tcBorders>
              <w:tl2br w:val="nil"/>
              <w:tr2bl w:val="nil"/>
            </w:tcBorders>
            <w:vAlign w:val="center"/>
          </w:tcPr>
          <w:p w14:paraId="5BE3E5F6">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296</w:t>
            </w:r>
          </w:p>
        </w:tc>
        <w:tc>
          <w:tcPr>
            <w:tcW w:w="1122" w:type="dxa"/>
            <w:tcBorders>
              <w:tl2br w:val="nil"/>
              <w:tr2bl w:val="nil"/>
            </w:tcBorders>
            <w:vAlign w:val="center"/>
          </w:tcPr>
          <w:p w14:paraId="50FA0102">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2.6</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4" w:hRule="exact"/>
        </w:trPr>
        <w:tc>
          <w:tcPr>
            <w:tcW w:w="992" w:type="dxa"/>
            <w:tcBorders>
              <w:tl2br w:val="nil"/>
              <w:tr2bl w:val="nil"/>
            </w:tcBorders>
            <w:vAlign w:val="center"/>
          </w:tcPr>
          <w:p w14:paraId="7C530D91">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0360EC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25BBAAD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1F394BD1">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9"/>
            <w:tcBorders>
              <w:tl2br w:val="nil"/>
              <w:tr2bl w:val="nil"/>
            </w:tcBorders>
            <w:vAlign w:val="center"/>
          </w:tcPr>
          <w:p w14:paraId="378F2B14">
            <w:pPr>
              <w:spacing w:line="240" w:lineRule="exact"/>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rPr>
              <w:t>本文采访的3家人工智能OPC中，创始人有一位80后、一位90后、一位00后，两</w:t>
            </w:r>
            <w:r>
              <w:rPr>
                <w:rFonts w:hint="eastAsia" w:ascii="仿宋" w:hAnsi="仿宋" w:eastAsia="仿宋" w:cs="仿宋"/>
                <w:color w:val="000000"/>
                <w:sz w:val="21"/>
                <w:szCs w:val="21"/>
                <w:lang w:val="en-US" w:eastAsia="zh-CN"/>
              </w:rPr>
              <w:t>人</w:t>
            </w:r>
            <w:r>
              <w:rPr>
                <w:rFonts w:hint="eastAsia" w:ascii="仿宋" w:hAnsi="仿宋" w:eastAsia="仿宋" w:cs="仿宋"/>
                <w:color w:val="000000"/>
                <w:sz w:val="21"/>
                <w:szCs w:val="21"/>
              </w:rPr>
              <w:t>博士</w:t>
            </w:r>
            <w:r>
              <w:rPr>
                <w:rFonts w:hint="eastAsia" w:ascii="仿宋" w:hAnsi="仿宋" w:eastAsia="仿宋" w:cs="仿宋"/>
                <w:color w:val="000000"/>
                <w:sz w:val="21"/>
                <w:szCs w:val="21"/>
                <w:lang w:val="en-US" w:eastAsia="zh-CN"/>
              </w:rPr>
              <w:t>学历</w:t>
            </w:r>
            <w:r>
              <w:rPr>
                <w:rFonts w:hint="eastAsia" w:ascii="仿宋" w:hAnsi="仿宋" w:eastAsia="仿宋" w:cs="仿宋"/>
                <w:color w:val="000000"/>
                <w:sz w:val="21"/>
                <w:szCs w:val="21"/>
              </w:rPr>
              <w:t>、一</w:t>
            </w:r>
            <w:r>
              <w:rPr>
                <w:rFonts w:hint="eastAsia" w:ascii="仿宋" w:hAnsi="仿宋" w:eastAsia="仿宋" w:cs="仿宋"/>
                <w:color w:val="000000"/>
                <w:sz w:val="21"/>
                <w:szCs w:val="21"/>
                <w:lang w:val="en-US" w:eastAsia="zh-CN"/>
              </w:rPr>
              <w:t>人</w:t>
            </w:r>
            <w:r>
              <w:rPr>
                <w:rFonts w:hint="eastAsia" w:ascii="仿宋" w:hAnsi="仿宋" w:eastAsia="仿宋" w:cs="仿宋"/>
                <w:color w:val="000000"/>
                <w:sz w:val="21"/>
                <w:szCs w:val="21"/>
              </w:rPr>
              <w:t>硕士</w:t>
            </w:r>
            <w:r>
              <w:rPr>
                <w:rFonts w:hint="eastAsia" w:ascii="仿宋" w:hAnsi="仿宋" w:eastAsia="仿宋" w:cs="仿宋"/>
                <w:color w:val="000000"/>
                <w:sz w:val="21"/>
                <w:szCs w:val="21"/>
                <w:lang w:val="en-US" w:eastAsia="zh-CN"/>
              </w:rPr>
              <w:t>学历</w:t>
            </w:r>
            <w:r>
              <w:rPr>
                <w:rFonts w:hint="eastAsia" w:ascii="仿宋" w:hAnsi="仿宋" w:eastAsia="仿宋" w:cs="仿宋"/>
                <w:color w:val="000000"/>
                <w:sz w:val="21"/>
                <w:szCs w:val="21"/>
              </w:rPr>
              <w:t>，分别是利用在人工智能和金融行业风控两个领域积累的经验进行创业，经济学专业博士生跨界开发智能体生成平台，材料学硕士</w:t>
            </w:r>
            <w:r>
              <w:rPr>
                <w:rFonts w:hint="eastAsia" w:ascii="仿宋" w:hAnsi="仿宋" w:eastAsia="仿宋" w:cs="仿宋"/>
                <w:color w:val="000000"/>
                <w:sz w:val="21"/>
                <w:szCs w:val="21"/>
                <w:lang w:val="en-US" w:eastAsia="zh-CN"/>
              </w:rPr>
              <w:t>毕业</w:t>
            </w:r>
            <w:r>
              <w:rPr>
                <w:rFonts w:hint="eastAsia" w:ascii="仿宋" w:hAnsi="仿宋" w:eastAsia="仿宋" w:cs="仿宋"/>
                <w:color w:val="000000"/>
                <w:sz w:val="21"/>
                <w:szCs w:val="21"/>
              </w:rPr>
              <w:t>生引入人工智能开发新产品。</w:t>
            </w:r>
          </w:p>
          <w:p w14:paraId="324137DA">
            <w:pPr>
              <w:spacing w:line="240" w:lineRule="exact"/>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rPr>
              <w:t>记者与3家OPC、中关村AI北纬社区生态伙伴软积木、社区孵化器运营方负责人面对面交流，了解AI如何赋能OPC成为超级个体、</w:t>
            </w:r>
            <w:r>
              <w:rPr>
                <w:rFonts w:hint="eastAsia" w:ascii="仿宋" w:hAnsi="仿宋" w:eastAsia="仿宋" w:cs="仿宋"/>
                <w:color w:val="000000"/>
                <w:sz w:val="21"/>
                <w:szCs w:val="21"/>
                <w:lang w:val="en-US" w:eastAsia="zh-CN"/>
              </w:rPr>
              <w:t>中关村</w:t>
            </w:r>
            <w:r>
              <w:rPr>
                <w:rFonts w:hint="eastAsia" w:ascii="仿宋" w:hAnsi="仿宋" w:eastAsia="仿宋" w:cs="仿宋"/>
                <w:color w:val="000000"/>
                <w:sz w:val="21"/>
                <w:szCs w:val="21"/>
              </w:rPr>
              <w:t>AI北纬社区如何“筑巢引凤”、如何托起OPC的梦想等内容，并以记者观察的形式，阐述AI时代“一人公司”迎来发展良机，呼吁人工智能OPC社区成为OPC的护航者。</w:t>
            </w:r>
          </w:p>
          <w:p w14:paraId="2AF32930">
            <w:pPr>
              <w:spacing w:line="240" w:lineRule="exact"/>
              <w:ind w:firstLine="420" w:firstLineChars="200"/>
              <w:rPr>
                <w:rFonts w:hint="eastAsia" w:ascii="华文中宋" w:hAnsi="华文中宋" w:eastAsia="华文中宋"/>
                <w:color w:val="000000"/>
                <w:spacing w:val="-2"/>
                <w:sz w:val="28"/>
              </w:rPr>
            </w:pPr>
            <w:r>
              <w:rPr>
                <w:rFonts w:hint="eastAsia" w:ascii="仿宋" w:hAnsi="仿宋" w:eastAsia="仿宋" w:cs="仿宋"/>
                <w:color w:val="000000"/>
                <w:sz w:val="21"/>
                <w:szCs w:val="21"/>
              </w:rPr>
              <w:t>本文通过抽丝剥茧的</w:t>
            </w:r>
            <w:r>
              <w:rPr>
                <w:rFonts w:hint="eastAsia" w:ascii="仿宋" w:hAnsi="仿宋" w:eastAsia="仿宋" w:cs="仿宋"/>
                <w:color w:val="000000"/>
                <w:sz w:val="21"/>
                <w:szCs w:val="21"/>
                <w:lang w:val="en-US" w:eastAsia="zh-CN"/>
              </w:rPr>
              <w:t>采访</w:t>
            </w:r>
            <w:r>
              <w:rPr>
                <w:rFonts w:hint="eastAsia" w:ascii="仿宋" w:hAnsi="仿宋" w:eastAsia="仿宋" w:cs="仿宋"/>
                <w:color w:val="000000"/>
                <w:sz w:val="21"/>
                <w:szCs w:val="21"/>
              </w:rPr>
              <w:t>，讲述不同OPC内部的运作方式、与社区的互动、需要的扶持资源等，为观察这一新兴事物提供了一扇窗口。在全国各地深入实施“人工智能+”行动背景下，本文对于人工智能和一人公司创业的关系的梳理，具有前瞻性和典型性。推荐参评。</w:t>
            </w:r>
            <w:r>
              <w:rPr>
                <w:rFonts w:hint="eastAsia" w:ascii="华文中宋" w:hAnsi="华文中宋" w:eastAsia="华文中宋"/>
                <w:color w:val="000000"/>
                <w:spacing w:val="-2"/>
                <w:sz w:val="28"/>
              </w:rPr>
              <w:t xml:space="preserve">  </w:t>
            </w:r>
          </w:p>
          <w:p w14:paraId="31875D0E">
            <w:pPr>
              <w:spacing w:line="240" w:lineRule="exact"/>
              <w:ind w:firstLine="552" w:firstLineChars="200"/>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3109BF00">
            <w:pPr>
              <w:spacing w:line="240" w:lineRule="auto"/>
              <w:rPr>
                <w:rFonts w:hint="eastAsia" w:ascii="华文中宋" w:hAnsi="华文中宋" w:eastAsia="华文中宋"/>
                <w:color w:val="000000"/>
                <w:sz w:val="28"/>
                <w:lang w:eastAsia="zh-CN"/>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r>
              <w:rPr>
                <w:rFonts w:hint="eastAsia" w:ascii="华文中宋" w:hAnsi="华文中宋" w:eastAsia="华文中宋"/>
                <w:color w:val="000000"/>
                <w:sz w:val="28"/>
                <w:lang w:eastAsia="zh-CN"/>
              </w:rPr>
              <w:drawing>
                <wp:inline distT="0" distB="0" distL="114300" distR="114300">
                  <wp:extent cx="1304925" cy="504825"/>
                  <wp:effectExtent l="0" t="0" r="9525" b="9525"/>
                  <wp:docPr id="1" name="图片 1" descr="郝主席人名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郝主席人名章"/>
                          <pic:cNvPicPr>
                            <a:picLocks noChangeAspect="1"/>
                          </pic:cNvPicPr>
                        </pic:nvPicPr>
                        <pic:blipFill>
                          <a:blip r:embed="rId5"/>
                          <a:stretch>
                            <a:fillRect/>
                          </a:stretch>
                        </pic:blipFill>
                        <pic:spPr>
                          <a:xfrm>
                            <a:off x="0" y="0"/>
                            <a:ext cx="1304925" cy="504825"/>
                          </a:xfrm>
                          <a:prstGeom prst="rect">
                            <a:avLst/>
                          </a:prstGeom>
                        </pic:spPr>
                      </pic:pic>
                    </a:graphicData>
                  </a:graphic>
                </wp:inline>
              </w:drawing>
            </w:r>
          </w:p>
          <w:p w14:paraId="5DF11F77">
            <w:pPr>
              <w:rPr>
                <w:rFonts w:hint="eastAsia" w:ascii="仿宋" w:hAnsi="仿宋" w:eastAsia="仿宋"/>
                <w:color w:val="000000"/>
                <w:szCs w:val="21"/>
              </w:rPr>
            </w:pPr>
            <w:r>
              <w:rPr>
                <w:rFonts w:hint="eastAsia" w:ascii="方正仿宋_GB2312"/>
                <w:color w:val="000000"/>
                <w:sz w:val="28"/>
              </w:rPr>
              <w:t xml:space="preserve">                                        </w:t>
            </w:r>
            <w:r>
              <w:rPr>
                <w:rFonts w:hint="eastAsia" w:ascii="华文中宋" w:hAnsi="华文中宋" w:eastAsia="华文中宋"/>
                <w:color w:val="000000"/>
                <w:sz w:val="28"/>
              </w:rPr>
              <w:t xml:space="preserve"> </w:t>
            </w:r>
            <w:r>
              <w:rPr>
                <w:rFonts w:hint="eastAsia" w:ascii="华文中宋" w:hAnsi="华文中宋" w:eastAsia="华文中宋"/>
                <w:color w:val="000000"/>
                <w:sz w:val="28"/>
                <w:lang w:val="en-US" w:eastAsia="zh-CN"/>
              </w:rPr>
              <w:t>2026</w:t>
            </w:r>
            <w:r>
              <w:rPr>
                <w:rFonts w:ascii="华文中宋" w:hAnsi="华文中宋" w:eastAsia="华文中宋"/>
                <w:color w:val="000000"/>
                <w:sz w:val="28"/>
              </w:rPr>
              <w:t>年</w:t>
            </w:r>
            <w:r>
              <w:rPr>
                <w:rFonts w:hint="eastAsia" w:ascii="华文中宋" w:hAnsi="华文中宋" w:eastAsia="华文中宋"/>
                <w:color w:val="000000"/>
                <w:sz w:val="28"/>
                <w:lang w:val="en-US" w:eastAsia="zh-CN"/>
              </w:rPr>
              <w:t>5</w:t>
            </w:r>
            <w:r>
              <w:rPr>
                <w:rFonts w:hint="eastAsia" w:ascii="华文中宋" w:hAnsi="华文中宋" w:eastAsia="华文中宋"/>
                <w:color w:val="000000"/>
                <w:sz w:val="28"/>
              </w:rPr>
              <w:t>月</w:t>
            </w:r>
            <w:r>
              <w:rPr>
                <w:rFonts w:hint="eastAsia" w:ascii="华文中宋" w:hAnsi="华文中宋" w:eastAsia="华文中宋"/>
                <w:color w:val="000000"/>
                <w:sz w:val="28"/>
                <w:lang w:val="en-US" w:eastAsia="zh-CN"/>
              </w:rPr>
              <w:t>21</w:t>
            </w:r>
            <w:r>
              <w:rPr>
                <w:rFonts w:hint="eastAsia" w:ascii="华文中宋" w:hAnsi="华文中宋" w:eastAsia="华文中宋"/>
                <w:color w:val="000000"/>
                <w:sz w:val="28"/>
              </w:rPr>
              <w:t>日</w:t>
            </w:r>
            <w:bookmarkStart w:id="0" w:name="_GoBack"/>
            <w:bookmarkEnd w:id="0"/>
          </w:p>
        </w:tc>
      </w:tr>
    </w:tbl>
    <w:p w14:paraId="30942D31">
      <w:pPr>
        <w:rPr>
          <w:rFonts w:hint="eastAsi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方正仿宋_GBK"/>
    <w:panose1 w:val="02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A00002BF" w:usb1="38CF7CFA" w:usb2="00082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B3087DCB">
    <w:panose1 w:val="02000000000000000000"/>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8400E"/>
    <w:rsid w:val="02FF5E45"/>
    <w:rsid w:val="04D65EB8"/>
    <w:rsid w:val="09102B5A"/>
    <w:rsid w:val="0C261B17"/>
    <w:rsid w:val="0D1E61D4"/>
    <w:rsid w:val="0DB066B9"/>
    <w:rsid w:val="0E3B2427"/>
    <w:rsid w:val="0F6632E6"/>
    <w:rsid w:val="103E4A53"/>
    <w:rsid w:val="11D30BC8"/>
    <w:rsid w:val="143F2545"/>
    <w:rsid w:val="1AFE6CB6"/>
    <w:rsid w:val="1B486183"/>
    <w:rsid w:val="1D756FD8"/>
    <w:rsid w:val="20A7394C"/>
    <w:rsid w:val="25A263D7"/>
    <w:rsid w:val="291819B2"/>
    <w:rsid w:val="2E9B567F"/>
    <w:rsid w:val="32221084"/>
    <w:rsid w:val="32AC4DF2"/>
    <w:rsid w:val="33363900"/>
    <w:rsid w:val="3502666A"/>
    <w:rsid w:val="367E6AA5"/>
    <w:rsid w:val="397228F1"/>
    <w:rsid w:val="39A44A75"/>
    <w:rsid w:val="39E66E3B"/>
    <w:rsid w:val="3C6C326E"/>
    <w:rsid w:val="41970A1B"/>
    <w:rsid w:val="41F83BB0"/>
    <w:rsid w:val="44110F59"/>
    <w:rsid w:val="4803505C"/>
    <w:rsid w:val="48B85E47"/>
    <w:rsid w:val="4BA34B8C"/>
    <w:rsid w:val="4CA94913"/>
    <w:rsid w:val="51C969CF"/>
    <w:rsid w:val="569021B1"/>
    <w:rsid w:val="594159E5"/>
    <w:rsid w:val="5980650D"/>
    <w:rsid w:val="5B975D90"/>
    <w:rsid w:val="5D250E1A"/>
    <w:rsid w:val="5E3B2A02"/>
    <w:rsid w:val="645C7B76"/>
    <w:rsid w:val="64A77044"/>
    <w:rsid w:val="65B0017A"/>
    <w:rsid w:val="6F1572A0"/>
    <w:rsid w:val="70CD2B43"/>
    <w:rsid w:val="70D54F38"/>
    <w:rsid w:val="719A5A6F"/>
    <w:rsid w:val="724E4FA2"/>
    <w:rsid w:val="7307044B"/>
    <w:rsid w:val="73F26870"/>
    <w:rsid w:val="791D56CF"/>
    <w:rsid w:val="7CCA791B"/>
    <w:rsid w:val="7D187ECB"/>
    <w:rsid w:val="7E1C41A7"/>
    <w:rsid w:val="7F22358F"/>
    <w:rsid w:val="BFDC1E40"/>
    <w:rsid w:val="EB7F7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1027</Words>
  <Characters>1194</Characters>
  <Lines>0</Lines>
  <Paragraphs>0</Paragraphs>
  <TotalTime>39</TotalTime>
  <ScaleCrop>false</ScaleCrop>
  <LinksUpToDate>false</LinksUpToDate>
  <CharactersWithSpaces>1297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2026-04-07T22:18:00Z</dcterms:created>
  <dc:creator>EDY</dc:creator>
  <cp:lastModifiedBy>pc</cp:lastModifiedBy>
  <cp:lastPrinted>2026-05-07T02:43:00Z</cp:lastPrinted>
  <dcterms:modified xsi:type="dcterms:W3CDTF">2026-05-21T07:13:08Z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eyJoZGlkIjoiZmVmODVmNzA2N2VjMjlmNGUzZDI2NzNmM2IwMDQzY2MiLCJ1c2VySWQiOiI0OTE4ODM0NDAifQ==</vt:lpwstr>
  </property>
  <property fmtid="{D5CDD505-2E9C-101B-9397-08002B2CF9AE}" pid="4" name="ICV">
    <vt:lpwstr>894285D3D0DD4AB9A5D903DECF577654_13</vt:lpwstr>
  </property>
</Properties>
</file>