
<file path=[Content_Types].xml><?xml version="1.0" encoding="utf-8"?>
<Types xmlns="http://schemas.openxmlformats.org/package/2006/content-types">
  <Default Extension="png" ContentType="image/png"/>
  <Default Extension="jpeg" ContentType="image/jpeg"/>
  <Default Extension="JPG" ContentType="image/.jpg"/>
  <Default Extension="gif" ContentType="image/gi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CEAAA0B">
      <w:pPr>
        <w:jc w:val="center"/>
        <w:rPr>
          <w:rFonts w:hint="eastAsia" w:ascii="微软雅黑" w:hAnsi="微软雅黑" w:eastAsia="微软雅黑" w:cs="微软雅黑"/>
          <w:b/>
          <w:bCs/>
          <w:sz w:val="30"/>
          <w:szCs w:val="30"/>
        </w:rPr>
      </w:pPr>
      <w:bookmarkStart w:id="0" w:name="_GoBack"/>
      <w:r>
        <w:rPr>
          <w:rFonts w:hint="eastAsia" w:ascii="微软雅黑" w:hAnsi="微软雅黑" w:eastAsia="微软雅黑" w:cs="微软雅黑"/>
          <w:b/>
          <w:bCs/>
          <w:sz w:val="30"/>
          <w:szCs w:val="30"/>
        </w:rPr>
        <w:t>99%与0.1mm：看北京城市韧性的“科技守护”｜科创这五年</w:t>
      </w:r>
    </w:p>
    <w:bookmarkEnd w:id="0"/>
    <w:p w14:paraId="05FB5435">
      <w:pPr>
        <w:rPr>
          <w:rFonts w:hint="eastAsia" w:ascii="宋体" w:hAnsi="宋体" w:eastAsia="宋体" w:cs="宋体"/>
          <w:sz w:val="21"/>
          <w:szCs w:val="21"/>
        </w:rPr>
      </w:pPr>
    </w:p>
    <w:p w14:paraId="5FADF279">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ascii="宋体" w:hAnsi="宋体" w:eastAsia="宋体" w:cs="宋体"/>
          <w:sz w:val="24"/>
          <w:szCs w:val="24"/>
        </w:rPr>
      </w:pPr>
      <w:r>
        <w:rPr>
          <w:rStyle w:val="5"/>
          <w:rFonts w:hint="eastAsia" w:ascii="宋体" w:hAnsi="宋体" w:eastAsia="宋体" w:cs="宋体"/>
          <w:sz w:val="24"/>
          <w:szCs w:val="24"/>
          <w:bdr w:val="none" w:color="auto" w:sz="0" w:space="0"/>
        </w:rPr>
        <w:t>科创这五年</w:t>
      </w:r>
    </w:p>
    <w:p w14:paraId="52355536">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ascii="宋体" w:hAnsi="宋体" w:eastAsia="宋体" w:cs="宋体"/>
          <w:color w:val="000000"/>
          <w:spacing w:val="5"/>
          <w:sz w:val="24"/>
          <w:szCs w:val="24"/>
          <w:bdr w:val="none" w:color="auto" w:sz="0" w:space="0"/>
        </w:rPr>
      </w:pPr>
      <w:r>
        <w:rPr>
          <w:rFonts w:hint="eastAsia" w:ascii="宋体" w:hAnsi="宋体" w:eastAsia="宋体" w:cs="宋体"/>
          <w:color w:val="000000"/>
          <w:spacing w:val="5"/>
          <w:sz w:val="24"/>
          <w:szCs w:val="24"/>
          <w:bdr w:val="none" w:color="auto" w:sz="0" w:space="0"/>
        </w:rPr>
        <w:t>“十四五”时期，是北京高标准推进国际科技创新中心建设，锻长板、筑优势、提能级的关键五年。这五年，北京创新力、竞争力、辐射力大幅提升，实现了“五个全球前列”，形成了“五个创新领先”。站在“十五五”新起点，</w:t>
      </w:r>
      <w:r>
        <w:rPr>
          <w:rFonts w:hint="eastAsia" w:ascii="宋体" w:hAnsi="宋体" w:eastAsia="宋体" w:cs="宋体"/>
          <w:sz w:val="24"/>
          <w:szCs w:val="24"/>
          <w:bdr w:val="none" w:color="auto" w:sz="0" w:space="0"/>
        </w:rPr>
        <w:t>北京市科委、中关村管委会特别策划推出</w:t>
      </w:r>
      <w:r>
        <w:rPr>
          <w:rFonts w:hint="eastAsia" w:ascii="宋体" w:hAnsi="宋体" w:eastAsia="宋体" w:cs="宋体"/>
          <w:b/>
          <w:bCs/>
          <w:sz w:val="24"/>
          <w:szCs w:val="24"/>
          <w:bdr w:val="none" w:color="auto" w:sz="0" w:space="0"/>
        </w:rPr>
        <w:t>“科创这五年”系列专题推文，今天推出第九篇，</w:t>
      </w:r>
      <w:r>
        <w:rPr>
          <w:rFonts w:hint="eastAsia" w:ascii="宋体" w:hAnsi="宋体" w:eastAsia="宋体" w:cs="宋体"/>
          <w:color w:val="000000"/>
          <w:spacing w:val="5"/>
          <w:sz w:val="24"/>
          <w:szCs w:val="24"/>
          <w:bdr w:val="none" w:color="auto" w:sz="0" w:space="0"/>
        </w:rPr>
        <w:t>与您一同回望非凡历程，解锁创新密码，瞭望未来蓝图，看这座创新之城如何锚定未来，再启新程！</w:t>
      </w:r>
    </w:p>
    <w:p w14:paraId="3ABEF76E">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ascii="宋体" w:hAnsi="宋体" w:eastAsia="宋体" w:cs="宋体"/>
          <w:color w:val="000000"/>
          <w:spacing w:val="5"/>
          <w:sz w:val="24"/>
          <w:szCs w:val="24"/>
          <w:bdr w:val="none" w:color="auto" w:sz="0" w:space="0"/>
        </w:rPr>
      </w:pPr>
    </w:p>
    <w:p w14:paraId="42C79DF4">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ascii="宋体" w:hAnsi="宋体" w:eastAsia="宋体" w:cs="宋体"/>
          <w:color w:val="000000"/>
          <w:spacing w:val="5"/>
          <w:sz w:val="24"/>
          <w:szCs w:val="24"/>
          <w:bdr w:val="none" w:color="auto" w:sz="0" w:space="0"/>
        </w:rPr>
      </w:pPr>
    </w:p>
    <w:p w14:paraId="54DC78B2">
      <w:pPr>
        <w:keepNext w:val="0"/>
        <w:keepLines w:val="0"/>
        <w:widowControl/>
        <w:suppressLineNumbers w:val="0"/>
        <w:jc w:val="left"/>
        <w:rPr>
          <w:rFonts w:hint="eastAsia" w:ascii="宋体" w:hAnsi="宋体" w:eastAsia="宋体" w:cs="宋体"/>
          <w:b/>
          <w:bCs/>
          <w:kern w:val="0"/>
          <w:sz w:val="24"/>
          <w:szCs w:val="24"/>
          <w:lang w:val="en-US" w:eastAsia="zh-CN" w:bidi="ar"/>
        </w:rPr>
      </w:pPr>
      <w:r>
        <w:rPr>
          <w:rFonts w:hint="eastAsia" w:ascii="宋体" w:hAnsi="宋体" w:eastAsia="宋体" w:cs="宋体"/>
          <w:kern w:val="0"/>
          <w:sz w:val="24"/>
          <w:szCs w:val="24"/>
          <w:lang w:val="en-US" w:eastAsia="zh-CN" w:bidi="ar"/>
        </w:rPr>
        <w:t>地下管线“生病”不愁，机器人钻入“肠道”精准诊疗；新工体穿上光伏“外衣”，每年节电77万余度；老年人可在沉浸式康复机器人陪伴下科学训练，中小学生“小眼镜”“小胖墩”问题有了科技干预手段……</w:t>
      </w:r>
      <w:r>
        <w:rPr>
          <w:rFonts w:hint="eastAsia" w:ascii="宋体" w:hAnsi="宋体" w:eastAsia="宋体" w:cs="宋体"/>
          <w:b/>
          <w:bCs/>
          <w:kern w:val="0"/>
          <w:sz w:val="24"/>
          <w:szCs w:val="24"/>
          <w:lang w:val="en-US" w:eastAsia="zh-CN" w:bidi="ar"/>
        </w:rPr>
        <w:t>“十四五”以来，一批硬核科技成果正从实验室走向街头巷尾，悄然改变着首都城市运行的面貌。</w:t>
      </w:r>
    </w:p>
    <w:p w14:paraId="39A98838">
      <w:pPr>
        <w:keepNext w:val="0"/>
        <w:keepLines w:val="0"/>
        <w:widowControl/>
        <w:suppressLineNumbers w:val="0"/>
        <w:jc w:val="left"/>
        <w:rPr>
          <w:rFonts w:hint="eastAsia" w:ascii="宋体" w:hAnsi="宋体" w:eastAsia="宋体" w:cs="宋体"/>
          <w:b/>
          <w:bCs/>
          <w:kern w:val="0"/>
          <w:sz w:val="24"/>
          <w:szCs w:val="24"/>
          <w:lang w:val="en-US" w:eastAsia="zh-CN" w:bidi="ar"/>
        </w:rPr>
      </w:pPr>
    </w:p>
    <w:p w14:paraId="662DF999">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5"/>
          <w:rFonts w:hint="eastAsia" w:ascii="宋体" w:hAnsi="宋体" w:eastAsia="宋体" w:cs="宋体"/>
          <w:color w:val="1E62A9"/>
          <w:sz w:val="24"/>
          <w:szCs w:val="24"/>
          <w:bdr w:val="none" w:color="auto" w:sz="0" w:space="0"/>
        </w:rPr>
      </w:pPr>
      <w:r>
        <w:rPr>
          <w:rStyle w:val="5"/>
          <w:rFonts w:hint="eastAsia" w:ascii="宋体" w:hAnsi="宋体" w:eastAsia="宋体" w:cs="宋体"/>
          <w:color w:val="1E62A9"/>
          <w:sz w:val="24"/>
          <w:szCs w:val="24"/>
          <w:bdr w:val="none" w:color="auto" w:sz="0" w:space="0"/>
        </w:rPr>
        <w:t>五年来，北京市科委、中关村管委会坚持问题导向、需求牵引，推动绿色低碳、新一代信息技术在城市管理场景落地应用，形成一批具有示范效应的创新成果，为首都城市治理体系和治理能力现代化注入了强劲的科技动能。</w:t>
      </w:r>
    </w:p>
    <w:p w14:paraId="1F8C9EB3">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5"/>
          <w:rFonts w:hint="eastAsia" w:ascii="宋体" w:hAnsi="宋体" w:eastAsia="宋体" w:cs="宋体"/>
          <w:color w:val="1E62A9"/>
          <w:sz w:val="24"/>
          <w:szCs w:val="24"/>
          <w:bdr w:val="none" w:color="auto" w:sz="0" w:space="0"/>
        </w:rPr>
      </w:pPr>
    </w:p>
    <w:p w14:paraId="2ABA72F5">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宋体" w:hAnsi="宋体" w:eastAsia="宋体" w:cs="宋体"/>
          <w:b/>
          <w:bCs w:val="0"/>
          <w:sz w:val="24"/>
          <w:szCs w:val="24"/>
        </w:rPr>
      </w:pPr>
      <w:r>
        <w:rPr>
          <w:rStyle w:val="5"/>
          <w:rFonts w:hint="eastAsia" w:ascii="宋体" w:hAnsi="宋体" w:eastAsia="宋体" w:cs="宋体"/>
          <w:b/>
          <w:bCs w:val="0"/>
          <w:sz w:val="24"/>
          <w:szCs w:val="24"/>
          <w:bdr w:val="none" w:color="auto" w:sz="0" w:space="0"/>
        </w:rPr>
        <w:t>筑牢安全基石 让城市更有“韧性”</w:t>
      </w:r>
    </w:p>
    <w:p w14:paraId="4E687FC8">
      <w:pPr>
        <w:pStyle w:val="2"/>
        <w:keepNext w:val="0"/>
        <w:keepLines w:val="0"/>
        <w:widowControl/>
        <w:suppressLineNumbers w:val="0"/>
        <w:spacing w:line="420" w:lineRule="atLeast"/>
        <w:rPr>
          <w:rFonts w:hint="eastAsia" w:ascii="宋体" w:hAnsi="宋体" w:eastAsia="宋体" w:cs="宋体"/>
          <w:sz w:val="24"/>
          <w:szCs w:val="24"/>
        </w:rPr>
      </w:pPr>
      <w:r>
        <w:rPr>
          <w:rStyle w:val="5"/>
          <w:rFonts w:hint="eastAsia" w:ascii="宋体" w:hAnsi="宋体" w:eastAsia="宋体" w:cs="宋体"/>
          <w:b/>
          <w:bCs/>
          <w:i w:val="0"/>
          <w:iCs w:val="0"/>
          <w:spacing w:val="7"/>
          <w:sz w:val="24"/>
          <w:szCs w:val="24"/>
        </w:rPr>
        <w:t>一座超大型城市的底气，往往藏在看不见的地方。</w:t>
      </w:r>
    </w:p>
    <w:p w14:paraId="58233B2E">
      <w:pPr>
        <w:pStyle w:val="2"/>
        <w:keepNext w:val="0"/>
        <w:keepLines w:val="0"/>
        <w:widowControl/>
        <w:suppressLineNumbers w:val="0"/>
        <w:spacing w:line="420" w:lineRule="atLeast"/>
        <w:rPr>
          <w:rFonts w:hint="eastAsia" w:ascii="宋体" w:hAnsi="宋体" w:eastAsia="宋体" w:cs="宋体"/>
          <w:sz w:val="24"/>
          <w:szCs w:val="24"/>
        </w:rPr>
      </w:pPr>
      <w:r>
        <w:rPr>
          <w:rFonts w:hint="eastAsia" w:ascii="宋体" w:hAnsi="宋体" w:eastAsia="宋体" w:cs="宋体"/>
          <w:b/>
          <w:bCs/>
          <w:i w:val="0"/>
          <w:iCs w:val="0"/>
          <w:spacing w:val="7"/>
          <w:sz w:val="24"/>
          <w:szCs w:val="24"/>
        </w:rPr>
        <w:t>在看不见的地下，科技正为城市的“生命线”把脉问诊。</w:t>
      </w:r>
      <w:r>
        <w:rPr>
          <w:rFonts w:hint="eastAsia" w:ascii="宋体" w:hAnsi="宋体" w:eastAsia="宋体" w:cs="宋体"/>
          <w:b w:val="0"/>
          <w:bCs w:val="0"/>
          <w:i w:val="0"/>
          <w:iCs w:val="0"/>
          <w:spacing w:val="7"/>
          <w:sz w:val="24"/>
          <w:szCs w:val="24"/>
        </w:rPr>
        <w:t>燃气、供水管道如同城市的毛细血管，维系着城市的运转，微小的泄漏或腐蚀如同隐匿的“血栓”，难以察觉。针对这一难题，北京突破了地下管线监测、检测、风险预警与修复等系列关键技术和装备，有效解决了现有燃气管道监测中易损坏、常误报及微小泄漏和腐蚀危害精准检测与定位难等问题，初步构建起覆盖地下管线全链条的科技防护体系。同样，在日均客流超千万的地铁网络中，渗漏曾是威胁运营安全的隐蔽隐患。北京研发地铁渗漏检测、预警、治理及适应性建造等关键技术，实现了在</w:t>
      </w:r>
      <w:r>
        <w:rPr>
          <w:rFonts w:hint="eastAsia" w:ascii="宋体" w:hAnsi="宋体" w:eastAsia="宋体" w:cs="宋体"/>
          <w:b/>
          <w:bCs/>
          <w:i w:val="0"/>
          <w:iCs w:val="0"/>
          <w:spacing w:val="7"/>
          <w:sz w:val="24"/>
          <w:szCs w:val="24"/>
        </w:rPr>
        <w:t>20km/h</w:t>
      </w:r>
      <w:r>
        <w:rPr>
          <w:rFonts w:hint="eastAsia" w:ascii="宋体" w:hAnsi="宋体" w:eastAsia="宋体" w:cs="宋体"/>
          <w:b w:val="0"/>
          <w:bCs w:val="0"/>
          <w:i w:val="0"/>
          <w:iCs w:val="0"/>
          <w:spacing w:val="7"/>
          <w:sz w:val="24"/>
          <w:szCs w:val="24"/>
        </w:rPr>
        <w:t>探测速度下精准识别</w:t>
      </w:r>
      <w:r>
        <w:rPr>
          <w:rFonts w:hint="eastAsia" w:ascii="宋体" w:hAnsi="宋体" w:eastAsia="宋体" w:cs="宋体"/>
          <w:b/>
          <w:bCs/>
          <w:i w:val="0"/>
          <w:iCs w:val="0"/>
          <w:spacing w:val="7"/>
          <w:sz w:val="24"/>
          <w:szCs w:val="24"/>
        </w:rPr>
        <w:t>0.1mm</w:t>
      </w:r>
      <w:r>
        <w:rPr>
          <w:rFonts w:hint="eastAsia" w:ascii="宋体" w:hAnsi="宋体" w:eastAsia="宋体" w:cs="宋体"/>
          <w:b w:val="0"/>
          <w:bCs w:val="0"/>
          <w:i w:val="0"/>
          <w:iCs w:val="0"/>
          <w:spacing w:val="7"/>
          <w:sz w:val="24"/>
          <w:szCs w:val="24"/>
        </w:rPr>
        <w:t>宽度裂缝和</w:t>
      </w:r>
      <w:r>
        <w:rPr>
          <w:rFonts w:hint="eastAsia" w:ascii="宋体" w:hAnsi="宋体" w:eastAsia="宋体" w:cs="宋体"/>
          <w:b/>
          <w:bCs/>
          <w:i w:val="0"/>
          <w:iCs w:val="0"/>
          <w:spacing w:val="7"/>
          <w:sz w:val="24"/>
          <w:szCs w:val="24"/>
        </w:rPr>
        <w:t>1cm²</w:t>
      </w:r>
      <w:r>
        <w:rPr>
          <w:rFonts w:hint="eastAsia" w:ascii="宋体" w:hAnsi="宋体" w:eastAsia="宋体" w:cs="宋体"/>
          <w:b w:val="0"/>
          <w:bCs w:val="0"/>
          <w:i w:val="0"/>
          <w:iCs w:val="0"/>
          <w:spacing w:val="7"/>
          <w:sz w:val="24"/>
          <w:szCs w:val="24"/>
        </w:rPr>
        <w:t>表观渗漏水面积，并以超</w:t>
      </w:r>
      <w:r>
        <w:rPr>
          <w:rFonts w:hint="eastAsia" w:ascii="宋体" w:hAnsi="宋体" w:eastAsia="宋体" w:cs="宋体"/>
          <w:b/>
          <w:bCs/>
          <w:i w:val="0"/>
          <w:iCs w:val="0"/>
          <w:spacing w:val="7"/>
          <w:sz w:val="24"/>
          <w:szCs w:val="24"/>
        </w:rPr>
        <w:t>99%</w:t>
      </w:r>
      <w:r>
        <w:rPr>
          <w:rFonts w:hint="eastAsia" w:ascii="宋体" w:hAnsi="宋体" w:eastAsia="宋体" w:cs="宋体"/>
          <w:b w:val="0"/>
          <w:bCs w:val="0"/>
          <w:i w:val="0"/>
          <w:iCs w:val="0"/>
          <w:spacing w:val="7"/>
          <w:sz w:val="24"/>
          <w:szCs w:val="24"/>
        </w:rPr>
        <w:t>的成功率完成渗漏修复，让每一趟列车都能在地下空间安心飞驰。</w:t>
      </w:r>
    </w:p>
    <w:p w14:paraId="5AC4E859">
      <w:pPr>
        <w:keepNext w:val="0"/>
        <w:keepLines w:val="0"/>
        <w:widowControl/>
        <w:suppressLineNumbers w:val="0"/>
        <w:jc w:val="left"/>
        <w:rPr>
          <w:rFonts w:hint="eastAsia" w:ascii="宋体" w:hAnsi="宋体" w:eastAsia="宋体" w:cs="宋体"/>
          <w:sz w:val="24"/>
          <w:szCs w:val="24"/>
        </w:rPr>
      </w:pPr>
      <w:r>
        <w:rPr>
          <w:rFonts w:hint="eastAsia" w:ascii="宋体" w:hAnsi="宋体" w:eastAsia="宋体" w:cs="宋体"/>
          <w:kern w:val="0"/>
          <w:sz w:val="24"/>
          <w:szCs w:val="24"/>
          <w:lang w:val="en-US" w:eastAsia="zh-CN" w:bidi="ar"/>
        </w:rPr>
        <w:drawing>
          <wp:inline distT="0" distB="0" distL="114300" distR="114300">
            <wp:extent cx="5273040" cy="1705610"/>
            <wp:effectExtent l="0" t="0" r="10160" b="0"/>
            <wp:docPr id="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IMG_256"/>
                    <pic:cNvPicPr>
                      <a:picLocks noChangeAspect="1"/>
                    </pic:cNvPicPr>
                  </pic:nvPicPr>
                  <pic:blipFill>
                    <a:blip r:embed="rId4"/>
                    <a:stretch>
                      <a:fillRect/>
                    </a:stretch>
                  </pic:blipFill>
                  <pic:spPr>
                    <a:xfrm>
                      <a:off x="0" y="0"/>
                      <a:ext cx="5273040" cy="1705610"/>
                    </a:xfrm>
                    <a:prstGeom prst="rect">
                      <a:avLst/>
                    </a:prstGeom>
                    <a:noFill/>
                    <a:ln w="9525">
                      <a:noFill/>
                    </a:ln>
                  </pic:spPr>
                </pic:pic>
              </a:graphicData>
            </a:graphic>
          </wp:inline>
        </w:drawing>
      </w:r>
    </w:p>
    <w:p w14:paraId="67A415C4">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ascii="宋体" w:hAnsi="宋体" w:eastAsia="宋体" w:cs="宋体"/>
          <w:sz w:val="24"/>
          <w:szCs w:val="24"/>
        </w:rPr>
      </w:pPr>
      <w:r>
        <w:rPr>
          <w:rStyle w:val="5"/>
          <w:rFonts w:hint="eastAsia" w:ascii="宋体" w:hAnsi="宋体" w:eastAsia="宋体" w:cs="宋体"/>
          <w:color w:val="827D7D"/>
          <w:sz w:val="24"/>
          <w:szCs w:val="24"/>
          <w:bdr w:val="none" w:color="auto" w:sz="0" w:space="0"/>
        </w:rPr>
        <w:t>埋地燃气管道内检测机器人</w:t>
      </w:r>
      <w:r>
        <w:rPr>
          <w:rFonts w:hint="eastAsia" w:ascii="宋体" w:hAnsi="宋体" w:eastAsia="宋体" w:cs="宋体"/>
          <w:color w:val="827D7D"/>
          <w:sz w:val="24"/>
          <w:szCs w:val="24"/>
          <w:bdr w:val="none" w:color="auto" w:sz="0" w:space="0"/>
        </w:rPr>
        <w:t>-可实现不开挖情况下最小直径1mm泄漏点和腐蚀危害的检测与定位。</w:t>
      </w:r>
    </w:p>
    <w:p w14:paraId="687B4832">
      <w:pPr>
        <w:keepNext w:val="0"/>
        <w:keepLines w:val="0"/>
        <w:widowControl/>
        <w:suppressLineNumbers w:val="0"/>
        <w:jc w:val="left"/>
        <w:rPr>
          <w:rFonts w:hint="eastAsia" w:ascii="宋体" w:hAnsi="宋体" w:eastAsia="宋体" w:cs="宋体"/>
          <w:kern w:val="0"/>
          <w:sz w:val="24"/>
          <w:szCs w:val="24"/>
          <w:lang w:val="en-US" w:eastAsia="zh-CN" w:bidi="ar"/>
        </w:rPr>
      </w:pPr>
    </w:p>
    <w:p w14:paraId="24A7BDA9">
      <w:pPr>
        <w:keepNext w:val="0"/>
        <w:keepLines w:val="0"/>
        <w:widowControl/>
        <w:suppressLineNumbers w:val="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在街头巷尾，电动自行车火灾风险防控已形成覆盖电池安全检测、安全充电电源、室内充电行为智能监测的全链条技术体系，核心技术正加速从实验室走进社区，为万家灯火守好安全门。</w:t>
      </w:r>
    </w:p>
    <w:p w14:paraId="522E7600">
      <w:pPr>
        <w:keepNext w:val="0"/>
        <w:keepLines w:val="0"/>
        <w:widowControl/>
        <w:suppressLineNumbers w:val="0"/>
        <w:jc w:val="left"/>
        <w:rPr>
          <w:rFonts w:hint="eastAsia" w:ascii="宋体" w:hAnsi="宋体" w:eastAsia="宋体" w:cs="宋体"/>
          <w:b w:val="0"/>
          <w:bCs w:val="0"/>
          <w:i w:val="0"/>
          <w:iCs w:val="0"/>
          <w:spacing w:val="7"/>
          <w:kern w:val="0"/>
          <w:sz w:val="24"/>
          <w:szCs w:val="24"/>
          <w:lang w:val="en-US" w:eastAsia="zh-CN" w:bidi="ar"/>
        </w:rPr>
      </w:pPr>
    </w:p>
    <w:p w14:paraId="51414316">
      <w:pPr>
        <w:keepNext w:val="0"/>
        <w:keepLines w:val="0"/>
        <w:widowControl/>
        <w:suppressLineNumbers w:val="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在公共卫生领域，环境气溶胶全自动采集与在线核酸监测仪实现病原微生物全过程无人参与的连续自动采集与检测，监测种类最多可达</w:t>
      </w:r>
      <w:r>
        <w:rPr>
          <w:rFonts w:hint="eastAsia" w:ascii="宋体" w:hAnsi="宋体" w:eastAsia="宋体" w:cs="宋体"/>
          <w:b/>
          <w:bCs/>
          <w:kern w:val="0"/>
          <w:sz w:val="24"/>
          <w:szCs w:val="24"/>
          <w:lang w:val="en-US" w:eastAsia="zh-CN" w:bidi="ar"/>
        </w:rPr>
        <w:t>64种</w:t>
      </w:r>
      <w:r>
        <w:rPr>
          <w:rFonts w:hint="eastAsia" w:ascii="宋体" w:hAnsi="宋体" w:eastAsia="宋体" w:cs="宋体"/>
          <w:kern w:val="0"/>
          <w:sz w:val="24"/>
          <w:szCs w:val="24"/>
          <w:lang w:val="en-US" w:eastAsia="zh-CN" w:bidi="ar"/>
        </w:rPr>
        <w:t>，判读准确率超过</w:t>
      </w:r>
      <w:r>
        <w:rPr>
          <w:rFonts w:hint="eastAsia" w:ascii="宋体" w:hAnsi="宋体" w:eastAsia="宋体" w:cs="宋体"/>
          <w:b/>
          <w:bCs/>
          <w:kern w:val="0"/>
          <w:sz w:val="24"/>
          <w:szCs w:val="24"/>
          <w:lang w:val="en-US" w:eastAsia="zh-CN" w:bidi="ar"/>
        </w:rPr>
        <w:t>95%</w:t>
      </w:r>
      <w:r>
        <w:rPr>
          <w:rFonts w:hint="eastAsia" w:ascii="宋体" w:hAnsi="宋体" w:eastAsia="宋体" w:cs="宋体"/>
          <w:kern w:val="0"/>
          <w:sz w:val="24"/>
          <w:szCs w:val="24"/>
          <w:lang w:val="en-US" w:eastAsia="zh-CN" w:bidi="ar"/>
        </w:rPr>
        <w:t>，检测时间最快缩短至</w:t>
      </w:r>
      <w:r>
        <w:rPr>
          <w:rFonts w:hint="eastAsia" w:ascii="宋体" w:hAnsi="宋体" w:eastAsia="宋体" w:cs="宋体"/>
          <w:b/>
          <w:bCs/>
          <w:kern w:val="0"/>
          <w:sz w:val="24"/>
          <w:szCs w:val="24"/>
          <w:lang w:val="en-US" w:eastAsia="zh-CN" w:bidi="ar"/>
        </w:rPr>
        <w:t>20分钟</w:t>
      </w:r>
      <w:r>
        <w:rPr>
          <w:rFonts w:hint="eastAsia" w:ascii="宋体" w:hAnsi="宋体" w:eastAsia="宋体" w:cs="宋体"/>
          <w:kern w:val="0"/>
          <w:sz w:val="24"/>
          <w:szCs w:val="24"/>
          <w:lang w:val="en-US" w:eastAsia="zh-CN" w:bidi="ar"/>
        </w:rPr>
        <w:t>以内；</w:t>
      </w:r>
      <w:r>
        <w:rPr>
          <w:rFonts w:hint="eastAsia" w:ascii="宋体" w:hAnsi="宋体" w:eastAsia="宋体" w:cs="宋体"/>
          <w:b/>
          <w:bCs/>
          <w:kern w:val="0"/>
          <w:sz w:val="24"/>
          <w:szCs w:val="24"/>
          <w:lang w:val="en-US" w:eastAsia="zh-CN" w:bidi="ar"/>
        </w:rPr>
        <w:t>-40℃</w:t>
      </w:r>
      <w:r>
        <w:rPr>
          <w:rFonts w:hint="eastAsia" w:ascii="宋体" w:hAnsi="宋体" w:eastAsia="宋体" w:cs="宋体"/>
          <w:kern w:val="0"/>
          <w:sz w:val="24"/>
          <w:szCs w:val="24"/>
          <w:lang w:val="en-US" w:eastAsia="zh-CN" w:bidi="ar"/>
        </w:rPr>
        <w:t>复合季铵盐低温消毒剂成功破解冷链食品外包装消毒难题；高能脉冲紫外消杀技术系列产品已在机舱、邮件等场景实现高效病毒灭活，全面提升首都公共卫生安全保障水平。</w:t>
      </w:r>
    </w:p>
    <w:p w14:paraId="380F8159">
      <w:pPr>
        <w:keepNext w:val="0"/>
        <w:keepLines w:val="0"/>
        <w:widowControl/>
        <w:suppressLineNumbers w:val="0"/>
        <w:jc w:val="left"/>
        <w:rPr>
          <w:rFonts w:hint="eastAsia" w:ascii="宋体" w:hAnsi="宋体" w:eastAsia="宋体" w:cs="宋体"/>
          <w:kern w:val="0"/>
          <w:sz w:val="24"/>
          <w:szCs w:val="24"/>
          <w:lang w:val="en-US" w:eastAsia="zh-CN" w:bidi="ar"/>
        </w:rPr>
      </w:pPr>
    </w:p>
    <w:p w14:paraId="004D4FBD">
      <w:pPr>
        <w:keepNext w:val="0"/>
        <w:keepLines w:val="0"/>
        <w:widowControl/>
        <w:suppressLineNumbers w:val="0"/>
        <w:jc w:val="left"/>
        <w:rPr>
          <w:rFonts w:hint="eastAsia" w:ascii="宋体" w:hAnsi="宋体" w:eastAsia="宋体" w:cs="宋体"/>
          <w:sz w:val="24"/>
          <w:szCs w:val="24"/>
        </w:rPr>
      </w:pPr>
      <w:r>
        <w:rPr>
          <w:rFonts w:hint="eastAsia" w:ascii="宋体" w:hAnsi="宋体" w:eastAsia="宋体" w:cs="宋体"/>
          <w:kern w:val="0"/>
          <w:sz w:val="24"/>
          <w:szCs w:val="24"/>
          <w:lang w:val="en-US" w:eastAsia="zh-CN" w:bidi="ar"/>
        </w:rPr>
        <w:drawing>
          <wp:inline distT="0" distB="0" distL="114300" distR="114300">
            <wp:extent cx="4410075" cy="4933950"/>
            <wp:effectExtent l="0" t="0" r="9525" b="6350"/>
            <wp:docPr id="8"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IMG_257"/>
                    <pic:cNvPicPr>
                      <a:picLocks noChangeAspect="1"/>
                    </pic:cNvPicPr>
                  </pic:nvPicPr>
                  <pic:blipFill>
                    <a:blip r:embed="rId5"/>
                    <a:stretch>
                      <a:fillRect/>
                    </a:stretch>
                  </pic:blipFill>
                  <pic:spPr>
                    <a:xfrm>
                      <a:off x="0" y="0"/>
                      <a:ext cx="4410075" cy="4933950"/>
                    </a:xfrm>
                    <a:prstGeom prst="rect">
                      <a:avLst/>
                    </a:prstGeom>
                    <a:noFill/>
                    <a:ln w="9525">
                      <a:noFill/>
                    </a:ln>
                  </pic:spPr>
                </pic:pic>
              </a:graphicData>
            </a:graphic>
          </wp:inline>
        </w:drawing>
      </w:r>
    </w:p>
    <w:p w14:paraId="7DDFAAD2">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ascii="宋体" w:hAnsi="宋体" w:eastAsia="宋体" w:cs="宋体"/>
          <w:sz w:val="24"/>
          <w:szCs w:val="24"/>
        </w:rPr>
      </w:pPr>
      <w:r>
        <w:rPr>
          <w:rStyle w:val="5"/>
          <w:rFonts w:hint="eastAsia" w:ascii="宋体" w:hAnsi="宋体" w:eastAsia="宋体" w:cs="宋体"/>
          <w:color w:val="827D7D"/>
          <w:sz w:val="24"/>
          <w:szCs w:val="24"/>
          <w:bdr w:val="none" w:color="auto" w:sz="0" w:space="0"/>
        </w:rPr>
        <w:t>环境气溶胶全自动采集与在线核酸监测仪</w:t>
      </w:r>
      <w:r>
        <w:rPr>
          <w:rFonts w:hint="eastAsia" w:ascii="宋体" w:hAnsi="宋体" w:eastAsia="宋体" w:cs="宋体"/>
          <w:color w:val="827D7D"/>
          <w:sz w:val="24"/>
          <w:szCs w:val="24"/>
          <w:bdr w:val="none" w:color="auto" w:sz="0" w:space="0"/>
        </w:rPr>
        <w:t>-实现小型化、智能化核酸监测，病原自动检出限达到102-105 cfu(pfu)/m3空气，病原微生物监测种类最多可达64种，基于RT-qPCR体系的检测时间少于100分钟，RT-qRPA体系的检测时间少于20分钟。</w:t>
      </w:r>
    </w:p>
    <w:p w14:paraId="305FFA6F">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Style w:val="5"/>
          <w:rFonts w:hint="eastAsia" w:ascii="宋体" w:hAnsi="宋体" w:eastAsia="宋体" w:cs="宋体"/>
          <w:color w:val="auto"/>
          <w:sz w:val="24"/>
          <w:szCs w:val="24"/>
          <w:bdr w:val="none" w:color="auto" w:sz="0" w:space="0"/>
        </w:rPr>
      </w:pPr>
    </w:p>
    <w:p w14:paraId="244F5D11">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Style w:val="5"/>
          <w:rFonts w:hint="eastAsia" w:ascii="宋体" w:hAnsi="宋体" w:eastAsia="宋体" w:cs="宋体"/>
          <w:color w:val="auto"/>
          <w:sz w:val="24"/>
          <w:szCs w:val="24"/>
          <w:bdr w:val="none" w:color="auto" w:sz="0" w:space="0"/>
        </w:rPr>
      </w:pPr>
      <w:r>
        <w:rPr>
          <w:rStyle w:val="5"/>
          <w:rFonts w:hint="eastAsia" w:ascii="宋体" w:hAnsi="宋体" w:eastAsia="宋体" w:cs="宋体"/>
          <w:color w:val="auto"/>
          <w:sz w:val="24"/>
          <w:szCs w:val="24"/>
          <w:bdr w:val="none" w:color="auto" w:sz="0" w:space="0"/>
        </w:rPr>
        <w:t>绘就生态画卷  从“能耗大户”到“低碳样板”</w:t>
      </w:r>
    </w:p>
    <w:p w14:paraId="6B0E687E">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Style w:val="5"/>
          <w:rFonts w:hint="eastAsia" w:ascii="宋体" w:hAnsi="宋体" w:eastAsia="宋体" w:cs="宋体"/>
          <w:color w:val="FFB335"/>
          <w:sz w:val="24"/>
          <w:szCs w:val="24"/>
          <w:bdr w:val="none" w:color="auto" w:sz="0" w:space="0"/>
        </w:rPr>
      </w:pPr>
    </w:p>
    <w:p w14:paraId="71574C2B">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ascii="宋体" w:hAnsi="宋体" w:eastAsia="宋体" w:cs="宋体"/>
          <w:sz w:val="24"/>
          <w:szCs w:val="24"/>
          <w:bdr w:val="none" w:color="auto" w:sz="0" w:space="0"/>
        </w:rPr>
      </w:pPr>
      <w:r>
        <w:rPr>
          <w:rStyle w:val="5"/>
          <w:rFonts w:hint="eastAsia" w:ascii="宋体" w:hAnsi="宋体" w:eastAsia="宋体" w:cs="宋体"/>
          <w:sz w:val="24"/>
          <w:szCs w:val="24"/>
          <w:bdr w:val="none" w:color="auto" w:sz="0" w:space="0"/>
        </w:rPr>
        <w:t>当科技与绿色相遇，城市的风景便有了新的叙事。</w:t>
      </w:r>
      <w:r>
        <w:rPr>
          <w:rFonts w:hint="eastAsia" w:ascii="宋体" w:hAnsi="宋体" w:eastAsia="宋体" w:cs="宋体"/>
          <w:sz w:val="24"/>
          <w:szCs w:val="24"/>
          <w:bdr w:val="none" w:color="auto" w:sz="0" w:space="0"/>
        </w:rPr>
        <w:t>一笔一划勾勒出的首都生态画卷，让城市在每一次呼吸间，都充满绿色的律动。</w:t>
      </w:r>
    </w:p>
    <w:p w14:paraId="17205467">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ascii="宋体" w:hAnsi="宋体" w:eastAsia="宋体" w:cs="宋体"/>
          <w:sz w:val="24"/>
          <w:szCs w:val="24"/>
          <w:bdr w:val="none" w:color="auto" w:sz="0" w:space="0"/>
        </w:rPr>
      </w:pPr>
    </w:p>
    <w:p w14:paraId="1F39950A">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ascii="宋体" w:hAnsi="宋体" w:eastAsia="宋体" w:cs="宋体"/>
          <w:sz w:val="24"/>
          <w:szCs w:val="24"/>
        </w:rPr>
      </w:pPr>
      <w:r>
        <w:rPr>
          <w:rStyle w:val="5"/>
          <w:rFonts w:hint="eastAsia" w:ascii="宋体" w:hAnsi="宋体" w:eastAsia="宋体" w:cs="宋体"/>
          <w:sz w:val="24"/>
          <w:szCs w:val="24"/>
          <w:bdr w:val="none" w:color="auto" w:sz="0" w:space="0"/>
        </w:rPr>
        <w:t>在节能这道“加减法”上，北京找到了让城市轻盈运转的节奏。从一座地标的蜕变，到整个城市肌理的更新，节能科技正在精打细算每一度电、每一分热。</w:t>
      </w:r>
      <w:r>
        <w:rPr>
          <w:rFonts w:hint="eastAsia" w:ascii="宋体" w:hAnsi="宋体" w:eastAsia="宋体" w:cs="宋体"/>
          <w:sz w:val="24"/>
          <w:szCs w:val="24"/>
          <w:bdr w:val="none" w:color="auto" w:sz="0" w:space="0"/>
        </w:rPr>
        <w:t>新落成的工人体育场，通过“改造－调适－运营”全过程节能方案，成为国内首个柔性用能调节的体育建筑，每年省下</w:t>
      </w:r>
      <w:r>
        <w:rPr>
          <w:rStyle w:val="5"/>
          <w:rFonts w:hint="eastAsia" w:ascii="宋体" w:hAnsi="宋体" w:eastAsia="宋体" w:cs="宋体"/>
          <w:sz w:val="24"/>
          <w:szCs w:val="24"/>
          <w:bdr w:val="none" w:color="auto" w:sz="0" w:space="0"/>
        </w:rPr>
        <w:t>77.24万千瓦时</w:t>
      </w:r>
      <w:r>
        <w:rPr>
          <w:rFonts w:hint="eastAsia" w:ascii="宋体" w:hAnsi="宋体" w:eastAsia="宋体" w:cs="宋体"/>
          <w:sz w:val="24"/>
          <w:szCs w:val="24"/>
          <w:bdr w:val="none" w:color="auto" w:sz="0" w:space="0"/>
        </w:rPr>
        <w:t>电量。以此为缩影，更广域的节能实践正在铺开：在城市副中心行政办公区采用建筑节能减碳大数据管控技术，民用建筑低碳改造可降排10%以上，北京四项示范工程为实现公共机构能耗与碳排放一体化实时监测和评估诊断，为公共机构节能减碳、科创中心建设提供支撑。地铁八通线上，城轨节能装置一体化协调控制技术实现牵引用电节能</w:t>
      </w:r>
      <w:r>
        <w:rPr>
          <w:rStyle w:val="5"/>
          <w:rFonts w:hint="eastAsia" w:ascii="宋体" w:hAnsi="宋体" w:eastAsia="宋体" w:cs="宋体"/>
          <w:sz w:val="24"/>
          <w:szCs w:val="24"/>
          <w:bdr w:val="none" w:color="auto" w:sz="0" w:space="0"/>
        </w:rPr>
        <w:t>13.9%</w:t>
      </w:r>
      <w:r>
        <w:rPr>
          <w:rFonts w:hint="eastAsia" w:ascii="宋体" w:hAnsi="宋体" w:eastAsia="宋体" w:cs="宋体"/>
          <w:sz w:val="24"/>
          <w:szCs w:val="24"/>
          <w:bdr w:val="none" w:color="auto" w:sz="0" w:space="0"/>
        </w:rPr>
        <w:t>；水泥行业碳捕集与资源化利用方案实现复杂烟气低浓度CO</w:t>
      </w:r>
      <w:r>
        <w:rPr>
          <w:rFonts w:hint="eastAsia" w:ascii="宋体" w:hAnsi="宋体" w:eastAsia="宋体" w:cs="宋体"/>
          <w:sz w:val="24"/>
          <w:szCs w:val="24"/>
          <w:bdr w:val="none" w:color="auto" w:sz="0" w:space="0"/>
          <w:vertAlign w:val="subscript"/>
        </w:rPr>
        <w:t>2</w:t>
      </w:r>
      <w:r>
        <w:rPr>
          <w:rFonts w:hint="eastAsia" w:ascii="宋体" w:hAnsi="宋体" w:eastAsia="宋体" w:cs="宋体"/>
          <w:sz w:val="24"/>
          <w:szCs w:val="24"/>
          <w:bdr w:val="none" w:color="auto" w:sz="0" w:space="0"/>
        </w:rPr>
        <w:t>高效捕集和全流程高效闭环无废利用；供热系统能耗精准管控技术实现各类型建筑未来逐小时供热负荷预测，节能率超过</w:t>
      </w:r>
      <w:r>
        <w:rPr>
          <w:rStyle w:val="5"/>
          <w:rFonts w:hint="eastAsia" w:ascii="宋体" w:hAnsi="宋体" w:eastAsia="宋体" w:cs="宋体"/>
          <w:sz w:val="24"/>
          <w:szCs w:val="24"/>
          <w:bdr w:val="none" w:color="auto" w:sz="0" w:space="0"/>
        </w:rPr>
        <w:t>7%</w:t>
      </w:r>
      <w:r>
        <w:rPr>
          <w:rFonts w:hint="eastAsia" w:ascii="宋体" w:hAnsi="宋体" w:eastAsia="宋体" w:cs="宋体"/>
          <w:sz w:val="24"/>
          <w:szCs w:val="24"/>
          <w:bdr w:val="none" w:color="auto" w:sz="0" w:space="0"/>
        </w:rPr>
        <w:t>。</w:t>
      </w:r>
      <w:r>
        <w:rPr>
          <w:rStyle w:val="5"/>
          <w:rFonts w:hint="eastAsia" w:ascii="宋体" w:hAnsi="宋体" w:eastAsia="宋体" w:cs="宋体"/>
          <w:sz w:val="24"/>
          <w:szCs w:val="24"/>
          <w:bdr w:val="none" w:color="auto" w:sz="0" w:space="0"/>
        </w:rPr>
        <w:t>一项项硬核技术，正让城市的每一次运转都更加轻盈高效。</w:t>
      </w:r>
    </w:p>
    <w:p w14:paraId="1BF7AF94">
      <w:pPr>
        <w:pStyle w:val="2"/>
        <w:keepNext w:val="0"/>
        <w:keepLines w:val="0"/>
        <w:widowControl/>
        <w:suppressLineNumbers w:val="0"/>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1135" cy="3702685"/>
            <wp:effectExtent l="0" t="0" r="12065" b="5715"/>
            <wp:docPr id="5"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IMG_258"/>
                    <pic:cNvPicPr>
                      <a:picLocks noChangeAspect="1"/>
                    </pic:cNvPicPr>
                  </pic:nvPicPr>
                  <pic:blipFill>
                    <a:blip r:embed="rId6"/>
                    <a:stretch>
                      <a:fillRect/>
                    </a:stretch>
                  </pic:blipFill>
                  <pic:spPr>
                    <a:xfrm>
                      <a:off x="0" y="0"/>
                      <a:ext cx="5271135" cy="3702685"/>
                    </a:xfrm>
                    <a:prstGeom prst="rect">
                      <a:avLst/>
                    </a:prstGeom>
                    <a:noFill/>
                    <a:ln w="9525">
                      <a:noFill/>
                    </a:ln>
                  </pic:spPr>
                </pic:pic>
              </a:graphicData>
            </a:graphic>
          </wp:inline>
        </w:drawing>
      </w:r>
    </w:p>
    <w:p w14:paraId="285D1AE6">
      <w:pPr>
        <w:pStyle w:val="2"/>
        <w:keepNext w:val="0"/>
        <w:keepLines w:val="0"/>
        <w:widowControl/>
        <w:suppressLineNumbers w:val="0"/>
        <w:rPr>
          <w:rFonts w:hint="eastAsia" w:ascii="宋体" w:hAnsi="宋体" w:eastAsia="宋体" w:cs="宋体"/>
          <w:sz w:val="24"/>
          <w:szCs w:val="24"/>
        </w:rPr>
      </w:pPr>
      <w:r>
        <w:rPr>
          <w:rFonts w:hint="eastAsia" w:ascii="宋体" w:hAnsi="宋体" w:eastAsia="宋体" w:cs="宋体"/>
          <w:b/>
          <w:bCs/>
          <w:i w:val="0"/>
          <w:iCs w:val="0"/>
          <w:color w:val="827D7D"/>
          <w:sz w:val="24"/>
          <w:szCs w:val="24"/>
        </w:rPr>
        <w:t>新工体罩棚钢结构</w:t>
      </w:r>
      <w:r>
        <w:rPr>
          <w:rFonts w:hint="eastAsia" w:ascii="宋体" w:hAnsi="宋体" w:eastAsia="宋体" w:cs="宋体"/>
          <w:i w:val="0"/>
          <w:iCs w:val="0"/>
          <w:color w:val="827D7D"/>
          <w:sz w:val="24"/>
          <w:szCs w:val="24"/>
        </w:rPr>
        <w:t>采用三维摩擦摆隔震支座+筒式粘滞阻尼器组合高位隔震体系，为全球高烈度地区首次使用，降低地震力作用80%，减少温度内力96%，节约钢材及混凝土2000余吨。</w:t>
      </w:r>
    </w:p>
    <w:p w14:paraId="2595B3BE">
      <w:pPr>
        <w:pStyle w:val="2"/>
        <w:keepNext w:val="0"/>
        <w:keepLines w:val="0"/>
        <w:widowControl/>
        <w:suppressLineNumbers w:val="0"/>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4238625" cy="2943225"/>
            <wp:effectExtent l="0" t="0" r="3175" b="3175"/>
            <wp:docPr id="6"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IMG_259"/>
                    <pic:cNvPicPr>
                      <a:picLocks noChangeAspect="1"/>
                    </pic:cNvPicPr>
                  </pic:nvPicPr>
                  <pic:blipFill>
                    <a:blip r:embed="rId7"/>
                    <a:stretch>
                      <a:fillRect/>
                    </a:stretch>
                  </pic:blipFill>
                  <pic:spPr>
                    <a:xfrm>
                      <a:off x="0" y="0"/>
                      <a:ext cx="4238625" cy="2943225"/>
                    </a:xfrm>
                    <a:prstGeom prst="rect">
                      <a:avLst/>
                    </a:prstGeom>
                    <a:noFill/>
                    <a:ln w="9525">
                      <a:noFill/>
                    </a:ln>
                  </pic:spPr>
                </pic:pic>
              </a:graphicData>
            </a:graphic>
          </wp:inline>
        </w:drawing>
      </w:r>
    </w:p>
    <w:p w14:paraId="7A1B3113">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rPr>
          <w:rFonts w:hint="eastAsia" w:ascii="宋体" w:hAnsi="宋体" w:eastAsia="宋体" w:cs="宋体"/>
          <w:sz w:val="24"/>
          <w:szCs w:val="24"/>
        </w:rPr>
      </w:pPr>
      <w:r>
        <w:rPr>
          <w:rStyle w:val="5"/>
          <w:rFonts w:hint="eastAsia" w:ascii="宋体" w:hAnsi="宋体" w:eastAsia="宋体" w:cs="宋体"/>
          <w:color w:val="827D7D"/>
          <w:sz w:val="24"/>
          <w:szCs w:val="24"/>
          <w:bdr w:val="none" w:color="auto" w:sz="0" w:space="0"/>
        </w:rPr>
        <w:t>新工人体育场</w:t>
      </w:r>
      <w:r>
        <w:rPr>
          <w:rFonts w:hint="eastAsia" w:ascii="宋体" w:hAnsi="宋体" w:eastAsia="宋体" w:cs="宋体"/>
          <w:color w:val="827D7D"/>
          <w:sz w:val="24"/>
          <w:szCs w:val="24"/>
          <w:bdr w:val="none" w:color="auto" w:sz="0" w:space="0"/>
        </w:rPr>
        <w:t>-屋面及挑檐分别选用漫射型及透明型两种不同透光效果的聚碳酸酯波形板，透光</w:t>
      </w:r>
      <w:r>
        <w:rPr>
          <w:rFonts w:hint="eastAsia" w:ascii="宋体" w:hAnsi="宋体" w:eastAsia="宋体" w:cs="宋体"/>
          <w:i w:val="0"/>
          <w:iCs w:val="0"/>
          <w:color w:val="827D7D"/>
          <w:sz w:val="24"/>
          <w:szCs w:val="24"/>
          <w:bdr w:val="none" w:color="auto" w:sz="0" w:space="0"/>
        </w:rPr>
        <w:t>型屋面可降低草坪生长光电照明消耗；外侧装饰翼叠加351.2kWp的光伏发电系统，可实现100%消纳。</w:t>
      </w:r>
      <w:r>
        <w:rPr>
          <w:rFonts w:hint="eastAsia" w:ascii="宋体" w:hAnsi="宋体" w:eastAsia="宋体" w:cs="宋体"/>
          <w:color w:val="827D7D"/>
          <w:sz w:val="24"/>
          <w:szCs w:val="24"/>
          <w:bdr w:val="none" w:color="auto" w:sz="0" w:space="0"/>
        </w:rPr>
        <w:t>每年可节省电77.24万kWh，相当于减排466.5t CO2。</w:t>
      </w:r>
    </w:p>
    <w:p w14:paraId="30CCF46E">
      <w:pPr>
        <w:pStyle w:val="2"/>
        <w:keepNext w:val="0"/>
        <w:keepLines w:val="0"/>
        <w:widowControl/>
        <w:suppressLineNumbers w:val="0"/>
        <w:rPr>
          <w:rFonts w:hint="eastAsia" w:ascii="宋体" w:hAnsi="宋体" w:eastAsia="宋体" w:cs="宋体"/>
          <w:sz w:val="24"/>
          <w:szCs w:val="24"/>
        </w:rPr>
      </w:pPr>
      <w:r>
        <w:rPr>
          <w:rFonts w:hint="eastAsia" w:ascii="宋体" w:hAnsi="宋体" w:eastAsia="宋体" w:cs="宋体"/>
          <w:b/>
          <w:bCs/>
          <w:sz w:val="24"/>
          <w:szCs w:val="24"/>
        </w:rPr>
        <w:t>存量更新的轻盈转身。</w:t>
      </w:r>
      <w:r>
        <w:rPr>
          <w:rFonts w:hint="eastAsia" w:ascii="宋体" w:hAnsi="宋体" w:eastAsia="宋体" w:cs="宋体"/>
          <w:sz w:val="24"/>
          <w:szCs w:val="24"/>
        </w:rPr>
        <w:t>针对既有民用建筑在节能改造中的性能、设备与集成技术等难题，北京开展了民用建筑低碳化改造技术路径研究，形成了一套从诊断到实施、可规模推广的解决方案。自主研发的低碳改造潜力快速诊断分析软件V1.0、干式外墙保温装饰一体板系统、高隔热玻纤增强聚氨酯覆铝型材窗、低环境温度空气源热泵机组等关键产品与技术，正为存量建筑注入绿色新活力。以国产化高性能型材窗为例，传热系数低至</w:t>
      </w:r>
      <w:r>
        <w:rPr>
          <w:rFonts w:hint="eastAsia" w:ascii="宋体" w:hAnsi="宋体" w:eastAsia="宋体" w:cs="宋体"/>
          <w:b/>
          <w:bCs/>
          <w:sz w:val="24"/>
          <w:szCs w:val="24"/>
        </w:rPr>
        <w:t>0.99 W/(m²·K)</w:t>
      </w:r>
      <w:r>
        <w:rPr>
          <w:rFonts w:hint="eastAsia" w:ascii="宋体" w:hAnsi="宋体" w:eastAsia="宋体" w:cs="宋体"/>
          <w:sz w:val="24"/>
          <w:szCs w:val="24"/>
        </w:rPr>
        <w:t>，在实现同等热工性能的同时，较同类产品成本下降约20%。从单个产品突破到系统集成示范，成果已在海淀区北洼路4号院、朝阳区常惠路等4项工程中落地应用，示范总面积达</w:t>
      </w:r>
      <w:r>
        <w:rPr>
          <w:rFonts w:hint="eastAsia" w:ascii="宋体" w:hAnsi="宋体" w:eastAsia="宋体" w:cs="宋体"/>
          <w:b/>
          <w:bCs/>
          <w:sz w:val="24"/>
          <w:szCs w:val="24"/>
        </w:rPr>
        <w:t>12.2万平方米</w:t>
      </w:r>
      <w:r>
        <w:rPr>
          <w:rFonts w:hint="eastAsia" w:ascii="宋体" w:hAnsi="宋体" w:eastAsia="宋体" w:cs="宋体"/>
          <w:sz w:val="24"/>
          <w:szCs w:val="24"/>
        </w:rPr>
        <w:t>，改造后建筑运行碳排放均降低</w:t>
      </w:r>
      <w:r>
        <w:rPr>
          <w:rFonts w:hint="eastAsia" w:ascii="宋体" w:hAnsi="宋体" w:eastAsia="宋体" w:cs="宋体"/>
          <w:b/>
          <w:bCs/>
          <w:sz w:val="24"/>
          <w:szCs w:val="24"/>
        </w:rPr>
        <w:t>10%以上</w:t>
      </w:r>
      <w:r>
        <w:rPr>
          <w:rFonts w:hint="eastAsia" w:ascii="宋体" w:hAnsi="宋体" w:eastAsia="宋体" w:cs="宋体"/>
          <w:sz w:val="24"/>
          <w:szCs w:val="24"/>
        </w:rPr>
        <w:t>，为北京市既有民用建筑低碳更新提供了可复制、可推广的技术蓝图。</w:t>
      </w:r>
    </w:p>
    <w:p w14:paraId="7BC8610E">
      <w:pPr>
        <w:pStyle w:val="2"/>
        <w:keepNext w:val="0"/>
        <w:keepLines w:val="0"/>
        <w:widowControl/>
        <w:suppressLineNumbers w:val="0"/>
        <w:rPr>
          <w:rFonts w:hint="eastAsia" w:ascii="宋体" w:hAnsi="宋体" w:eastAsia="宋体" w:cs="宋体"/>
          <w:sz w:val="24"/>
          <w:szCs w:val="24"/>
        </w:rPr>
      </w:pPr>
      <w:r>
        <w:rPr>
          <w:rFonts w:hint="eastAsia" w:ascii="宋体" w:hAnsi="宋体" w:eastAsia="宋体" w:cs="宋体"/>
          <w:sz w:val="24"/>
          <w:szCs w:val="24"/>
        </w:rPr>
        <w:t>面向城市更新与大规模既有建筑节能降碳需求，下一步将持续推动成果标准化、产品化与规模化应用，让更多老建筑在绿色转身中，焕发轻盈而持久的生命力。</w:t>
      </w:r>
    </w:p>
    <w:p w14:paraId="547076E7">
      <w:pPr>
        <w:keepNext w:val="0"/>
        <w:keepLines w:val="0"/>
        <w:widowControl/>
        <w:suppressLineNumbers w:val="0"/>
        <w:jc w:val="left"/>
        <w:rPr>
          <w:rFonts w:hint="eastAsia" w:ascii="宋体" w:hAnsi="宋体" w:eastAsia="宋体" w:cs="宋体"/>
          <w:sz w:val="24"/>
          <w:szCs w:val="24"/>
        </w:rPr>
      </w:pPr>
      <w:r>
        <w:rPr>
          <w:rFonts w:hint="eastAsia" w:ascii="宋体" w:hAnsi="宋体" w:eastAsia="宋体" w:cs="宋体"/>
          <w:kern w:val="0"/>
          <w:sz w:val="24"/>
          <w:szCs w:val="24"/>
          <w:lang w:val="en-US" w:eastAsia="zh-CN" w:bidi="ar"/>
        </w:rPr>
        <w:drawing>
          <wp:inline distT="0" distB="0" distL="114300" distR="114300">
            <wp:extent cx="5266690" cy="3433445"/>
            <wp:effectExtent l="0" t="0" r="3810" b="8255"/>
            <wp:docPr id="13"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descr="IMG_260"/>
                    <pic:cNvPicPr>
                      <a:picLocks noChangeAspect="1"/>
                    </pic:cNvPicPr>
                  </pic:nvPicPr>
                  <pic:blipFill>
                    <a:blip r:embed="rId8"/>
                    <a:stretch>
                      <a:fillRect/>
                    </a:stretch>
                  </pic:blipFill>
                  <pic:spPr>
                    <a:xfrm>
                      <a:off x="0" y="0"/>
                      <a:ext cx="5266690" cy="3433445"/>
                    </a:xfrm>
                    <a:prstGeom prst="rect">
                      <a:avLst/>
                    </a:prstGeom>
                    <a:noFill/>
                    <a:ln w="9525">
                      <a:noFill/>
                    </a:ln>
                  </pic:spPr>
                </pic:pic>
              </a:graphicData>
            </a:graphic>
          </wp:inline>
        </w:drawing>
      </w:r>
    </w:p>
    <w:p w14:paraId="787A0EF0">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rPr>
          <w:rFonts w:hint="eastAsia" w:ascii="宋体" w:hAnsi="宋体" w:eastAsia="宋体" w:cs="宋体"/>
          <w:sz w:val="24"/>
          <w:szCs w:val="24"/>
        </w:rPr>
      </w:pPr>
      <w:r>
        <w:rPr>
          <w:rFonts w:hint="eastAsia" w:ascii="宋体" w:hAnsi="宋体" w:eastAsia="宋体" w:cs="宋体"/>
          <w:b/>
          <w:bCs/>
          <w:i w:val="0"/>
          <w:iCs w:val="0"/>
          <w:color w:val="827D7D"/>
          <w:sz w:val="24"/>
          <w:szCs w:val="24"/>
          <w:bdr w:val="none" w:color="auto" w:sz="0" w:space="0"/>
        </w:rPr>
        <w:t>北洼路4号院</w:t>
      </w:r>
      <w:r>
        <w:rPr>
          <w:rFonts w:hint="eastAsia" w:ascii="宋体" w:hAnsi="宋体" w:eastAsia="宋体" w:cs="宋体"/>
          <w:i w:val="0"/>
          <w:iCs w:val="0"/>
          <w:color w:val="827D7D"/>
          <w:sz w:val="24"/>
          <w:szCs w:val="24"/>
          <w:bdr w:val="none" w:color="auto" w:sz="0" w:space="0"/>
        </w:rPr>
        <w:t>-采用了保温装饰一体板、高性能外窗，提升围护结构保温性能；采用了高能效机电系统设备、智慧管控系统，提升机电系统整体能效；通过优化场地流线，减少场地内碳排放。 </w:t>
      </w:r>
    </w:p>
    <w:p w14:paraId="629589BC">
      <w:pPr>
        <w:keepNext w:val="0"/>
        <w:keepLines w:val="0"/>
        <w:widowControl/>
        <w:suppressLineNumbers w:val="0"/>
        <w:jc w:val="left"/>
        <w:rPr>
          <w:rFonts w:hint="eastAsia" w:ascii="宋体" w:hAnsi="宋体" w:eastAsia="宋体" w:cs="宋体"/>
          <w:sz w:val="24"/>
          <w:szCs w:val="24"/>
        </w:rPr>
      </w:pPr>
      <w:r>
        <w:rPr>
          <w:rFonts w:hint="eastAsia" w:ascii="宋体" w:hAnsi="宋体" w:eastAsia="宋体" w:cs="宋体"/>
          <w:kern w:val="0"/>
          <w:sz w:val="24"/>
          <w:szCs w:val="24"/>
          <w:lang w:val="en-US" w:eastAsia="zh-CN" w:bidi="ar"/>
        </w:rPr>
        <w:drawing>
          <wp:inline distT="0" distB="0" distL="114300" distR="114300">
            <wp:extent cx="5266690" cy="3330575"/>
            <wp:effectExtent l="0" t="0" r="3810" b="9525"/>
            <wp:docPr id="12"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descr="IMG_261"/>
                    <pic:cNvPicPr>
                      <a:picLocks noChangeAspect="1"/>
                    </pic:cNvPicPr>
                  </pic:nvPicPr>
                  <pic:blipFill>
                    <a:blip r:embed="rId9"/>
                    <a:stretch>
                      <a:fillRect/>
                    </a:stretch>
                  </pic:blipFill>
                  <pic:spPr>
                    <a:xfrm>
                      <a:off x="0" y="0"/>
                      <a:ext cx="5266690" cy="3330575"/>
                    </a:xfrm>
                    <a:prstGeom prst="rect">
                      <a:avLst/>
                    </a:prstGeom>
                    <a:noFill/>
                    <a:ln w="9525">
                      <a:noFill/>
                    </a:ln>
                  </pic:spPr>
                </pic:pic>
              </a:graphicData>
            </a:graphic>
          </wp:inline>
        </w:drawing>
      </w:r>
    </w:p>
    <w:p w14:paraId="56DA9F22">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rPr>
          <w:rFonts w:hint="eastAsia" w:ascii="宋体" w:hAnsi="宋体" w:eastAsia="宋体" w:cs="宋体"/>
          <w:i w:val="0"/>
          <w:iCs w:val="0"/>
          <w:color w:val="827D7D"/>
          <w:sz w:val="24"/>
          <w:szCs w:val="24"/>
          <w:bdr w:val="none" w:color="auto" w:sz="0" w:space="0"/>
        </w:rPr>
      </w:pPr>
      <w:r>
        <w:rPr>
          <w:rFonts w:hint="eastAsia" w:ascii="宋体" w:hAnsi="宋体" w:eastAsia="宋体" w:cs="宋体"/>
          <w:b/>
          <w:bCs/>
          <w:i w:val="0"/>
          <w:iCs w:val="0"/>
          <w:color w:val="827D7D"/>
          <w:sz w:val="24"/>
          <w:szCs w:val="24"/>
          <w:bdr w:val="none" w:color="auto" w:sz="0" w:space="0"/>
        </w:rPr>
        <w:t>北洼路4号院</w:t>
      </w:r>
      <w:r>
        <w:rPr>
          <w:rFonts w:hint="eastAsia" w:ascii="宋体" w:hAnsi="宋体" w:eastAsia="宋体" w:cs="宋体"/>
          <w:i w:val="0"/>
          <w:iCs w:val="0"/>
          <w:color w:val="827D7D"/>
          <w:sz w:val="24"/>
          <w:szCs w:val="24"/>
          <w:bdr w:val="none" w:color="auto" w:sz="0" w:space="0"/>
        </w:rPr>
        <w:t>-改造后建筑的安全、绿色、智慧性能大幅提升。经测算，改造后碳排放降幅超10%。</w:t>
      </w:r>
    </w:p>
    <w:p w14:paraId="0CFEEA13">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rPr>
          <w:rFonts w:hint="eastAsia" w:ascii="宋体" w:hAnsi="宋体" w:eastAsia="宋体" w:cs="宋体"/>
          <w:i w:val="0"/>
          <w:iCs w:val="0"/>
          <w:color w:val="827D7D"/>
          <w:sz w:val="24"/>
          <w:szCs w:val="24"/>
          <w:bdr w:val="none" w:color="auto" w:sz="0" w:space="0"/>
        </w:rPr>
      </w:pPr>
    </w:p>
    <w:p w14:paraId="1381E381">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5"/>
          <w:rFonts w:hint="eastAsia" w:ascii="宋体" w:hAnsi="宋体" w:eastAsia="宋体" w:cs="宋体"/>
          <w:sz w:val="24"/>
          <w:szCs w:val="24"/>
          <w:bdr w:val="none" w:color="auto" w:sz="0" w:space="0"/>
        </w:rPr>
      </w:pPr>
      <w:r>
        <w:rPr>
          <w:rStyle w:val="5"/>
          <w:rFonts w:hint="eastAsia" w:ascii="宋体" w:hAnsi="宋体" w:eastAsia="宋体" w:cs="宋体"/>
          <w:sz w:val="24"/>
          <w:szCs w:val="24"/>
          <w:bdr w:val="none" w:color="auto" w:sz="0" w:space="0"/>
        </w:rPr>
        <w:t>守护蓝天碧水净土，藏在每一个细微之处。在北京，环境治理的科技“组合拳”成效显著。</w:t>
      </w:r>
      <w:r>
        <w:rPr>
          <w:rFonts w:hint="eastAsia" w:ascii="宋体" w:hAnsi="宋体" w:eastAsia="宋体" w:cs="宋体"/>
          <w:sz w:val="24"/>
          <w:szCs w:val="24"/>
          <w:bdr w:val="none" w:color="auto" w:sz="0" w:space="0"/>
        </w:rPr>
        <w:t>臭氧形成关键因子与削峰控制技术实现预报准确率超</w:t>
      </w:r>
      <w:r>
        <w:rPr>
          <w:rStyle w:val="5"/>
          <w:rFonts w:hint="eastAsia" w:ascii="宋体" w:hAnsi="宋体" w:eastAsia="宋体" w:cs="宋体"/>
          <w:sz w:val="24"/>
          <w:szCs w:val="24"/>
          <w:bdr w:val="none" w:color="auto" w:sz="0" w:space="0"/>
        </w:rPr>
        <w:t>80%</w:t>
      </w:r>
      <w:r>
        <w:rPr>
          <w:rFonts w:hint="eastAsia" w:ascii="宋体" w:hAnsi="宋体" w:eastAsia="宋体" w:cs="宋体"/>
          <w:sz w:val="24"/>
          <w:szCs w:val="24"/>
          <w:bdr w:val="none" w:color="auto" w:sz="0" w:space="0"/>
        </w:rPr>
        <w:t>，为京津冀臭氧联防联控提供支撑。守护“大水缸”密云水库，水生态安全调控技术筑起无形屏障；盯紧地下管网，基于量子点光谱传感的排水管网水质监测设备可实时监测多种污染物指标，联动多点位数据准确识别污染类型和来源，已在全国</w:t>
      </w:r>
      <w:r>
        <w:rPr>
          <w:rStyle w:val="5"/>
          <w:rFonts w:hint="eastAsia" w:ascii="宋体" w:hAnsi="宋体" w:eastAsia="宋体" w:cs="宋体"/>
          <w:sz w:val="24"/>
          <w:szCs w:val="24"/>
          <w:bdr w:val="none" w:color="auto" w:sz="0" w:space="0"/>
        </w:rPr>
        <w:t>20多个</w:t>
      </w:r>
      <w:r>
        <w:rPr>
          <w:rFonts w:hint="eastAsia" w:ascii="宋体" w:hAnsi="宋体" w:eastAsia="宋体" w:cs="宋体"/>
          <w:sz w:val="24"/>
          <w:szCs w:val="24"/>
          <w:bdr w:val="none" w:color="auto" w:sz="0" w:space="0"/>
        </w:rPr>
        <w:t>省市“上岗”；生物降解塑料袋制备技术降低成本超</w:t>
      </w:r>
      <w:r>
        <w:rPr>
          <w:rStyle w:val="5"/>
          <w:rFonts w:hint="eastAsia" w:ascii="宋体" w:hAnsi="宋体" w:eastAsia="宋体" w:cs="宋体"/>
          <w:sz w:val="24"/>
          <w:szCs w:val="24"/>
          <w:bdr w:val="none" w:color="auto" w:sz="0" w:space="0"/>
        </w:rPr>
        <w:t>30%</w:t>
      </w:r>
      <w:r>
        <w:rPr>
          <w:rFonts w:hint="eastAsia" w:ascii="宋体" w:hAnsi="宋体" w:eastAsia="宋体" w:cs="宋体"/>
          <w:sz w:val="24"/>
          <w:szCs w:val="24"/>
          <w:bdr w:val="none" w:color="auto" w:sz="0" w:space="0"/>
        </w:rPr>
        <w:t>，形成万吨级产能，为“白色污染”治理提供了有力支撑；密云水库水生态安全调控技术有力保障了首都“大水缸”生态安全。</w:t>
      </w:r>
      <w:r>
        <w:rPr>
          <w:rStyle w:val="5"/>
          <w:rFonts w:hint="eastAsia" w:ascii="宋体" w:hAnsi="宋体" w:eastAsia="宋体" w:cs="宋体"/>
          <w:sz w:val="24"/>
          <w:szCs w:val="24"/>
          <w:bdr w:val="none" w:color="auto" w:sz="0" w:space="0"/>
        </w:rPr>
        <w:t>这套环环相扣的“组合拳”，正为绿水青山筑起坚实的科技屏障。</w:t>
      </w:r>
    </w:p>
    <w:p w14:paraId="2A2DA28C">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5"/>
          <w:rFonts w:hint="eastAsia" w:ascii="宋体" w:hAnsi="宋体" w:eastAsia="宋体" w:cs="宋体"/>
          <w:sz w:val="24"/>
          <w:szCs w:val="24"/>
          <w:bdr w:val="none" w:color="auto" w:sz="0" w:space="0"/>
        </w:rPr>
      </w:pPr>
    </w:p>
    <w:p w14:paraId="60CC3103">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ascii="宋体" w:hAnsi="宋体" w:eastAsia="宋体" w:cs="宋体"/>
          <w:sz w:val="24"/>
          <w:szCs w:val="24"/>
        </w:rPr>
      </w:pPr>
      <w:r>
        <w:rPr>
          <w:rStyle w:val="5"/>
          <w:rFonts w:hint="eastAsia" w:ascii="宋体" w:hAnsi="宋体" w:eastAsia="宋体" w:cs="宋体"/>
          <w:sz w:val="24"/>
          <w:szCs w:val="24"/>
          <w:bdr w:val="none" w:color="auto" w:sz="0" w:space="0"/>
        </w:rPr>
        <w:t>北京还在用科技做一支“调色笔”，为城市的四季增添灵动的生命力。</w:t>
      </w:r>
      <w:r>
        <w:rPr>
          <w:rFonts w:hint="eastAsia" w:ascii="宋体" w:hAnsi="宋体" w:eastAsia="宋体" w:cs="宋体"/>
          <w:sz w:val="24"/>
          <w:szCs w:val="24"/>
          <w:bdr w:val="none" w:color="auto" w:sz="0" w:space="0"/>
        </w:rPr>
        <w:t>冬季常绿和彩色植物培育技术成功繁殖“蓝粉云杉、优良乔松”等冬季景观树种</w:t>
      </w:r>
      <w:r>
        <w:rPr>
          <w:rStyle w:val="5"/>
          <w:rFonts w:hint="eastAsia" w:ascii="宋体" w:hAnsi="宋体" w:eastAsia="宋体" w:cs="宋体"/>
          <w:sz w:val="24"/>
          <w:szCs w:val="24"/>
          <w:bdr w:val="none" w:color="auto" w:sz="0" w:space="0"/>
        </w:rPr>
        <w:t>10万余株</w:t>
      </w:r>
      <w:r>
        <w:rPr>
          <w:rFonts w:hint="eastAsia" w:ascii="宋体" w:hAnsi="宋体" w:eastAsia="宋体" w:cs="宋体"/>
          <w:sz w:val="24"/>
          <w:szCs w:val="24"/>
          <w:bdr w:val="none" w:color="auto" w:sz="0" w:space="0"/>
        </w:rPr>
        <w:t>，形成“三绿两彩”5种冬季景观植物空间配置模式，为北京冬季增绿增彩；生物多样性保育与气候调节协同增效技术为应对城市化带来的生物多样性退化等问题提供了新路径；国家植物园数字化技术实现科研温室的远程精细控制和远程沉浸式游园，助力国家植物园体系建设。</w:t>
      </w:r>
      <w:r>
        <w:rPr>
          <w:rStyle w:val="5"/>
          <w:rFonts w:hint="eastAsia" w:ascii="宋体" w:hAnsi="宋体" w:eastAsia="宋体" w:cs="宋体"/>
          <w:sz w:val="24"/>
          <w:szCs w:val="24"/>
          <w:bdr w:val="none" w:color="auto" w:sz="0" w:space="0"/>
        </w:rPr>
        <w:t>从抬眼可及的一抹新绿，到云端可触的满园春色，科技正让城市的生态底色更加可感、可亲。</w:t>
      </w:r>
    </w:p>
    <w:p w14:paraId="086FB6E1">
      <w:pPr>
        <w:keepNext w:val="0"/>
        <w:keepLines w:val="0"/>
        <w:widowControl/>
        <w:suppressLineNumbers w:val="0"/>
        <w:jc w:val="left"/>
        <w:rPr>
          <w:rFonts w:hint="eastAsia" w:ascii="宋体" w:hAnsi="宋体" w:eastAsia="宋体" w:cs="宋体"/>
          <w:sz w:val="24"/>
          <w:szCs w:val="24"/>
        </w:rPr>
      </w:pPr>
      <w:r>
        <w:rPr>
          <w:rFonts w:hint="eastAsia" w:ascii="宋体" w:hAnsi="宋体" w:eastAsia="宋体" w:cs="宋体"/>
          <w:kern w:val="0"/>
          <w:sz w:val="24"/>
          <w:szCs w:val="24"/>
          <w:lang w:val="en-US" w:eastAsia="zh-CN" w:bidi="ar"/>
        </w:rPr>
        <w:drawing>
          <wp:inline distT="0" distB="0" distL="114300" distR="114300">
            <wp:extent cx="5266690" cy="7900670"/>
            <wp:effectExtent l="0" t="0" r="3810" b="11430"/>
            <wp:docPr id="9"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descr="IMG_262"/>
                    <pic:cNvPicPr>
                      <a:picLocks noChangeAspect="1"/>
                    </pic:cNvPicPr>
                  </pic:nvPicPr>
                  <pic:blipFill>
                    <a:blip r:embed="rId10"/>
                    <a:stretch>
                      <a:fillRect/>
                    </a:stretch>
                  </pic:blipFill>
                  <pic:spPr>
                    <a:xfrm>
                      <a:off x="0" y="0"/>
                      <a:ext cx="5266690" cy="7900670"/>
                    </a:xfrm>
                    <a:prstGeom prst="rect">
                      <a:avLst/>
                    </a:prstGeom>
                    <a:noFill/>
                    <a:ln w="9525">
                      <a:noFill/>
                    </a:ln>
                  </pic:spPr>
                </pic:pic>
              </a:graphicData>
            </a:graphic>
          </wp:inline>
        </w:drawing>
      </w:r>
    </w:p>
    <w:p w14:paraId="3AA3E137">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rPr>
          <w:rFonts w:hint="eastAsia" w:ascii="宋体" w:hAnsi="宋体" w:eastAsia="宋体" w:cs="宋体"/>
          <w:i w:val="0"/>
          <w:iCs w:val="0"/>
          <w:color w:val="827D7D"/>
          <w:sz w:val="24"/>
          <w:szCs w:val="24"/>
        </w:rPr>
      </w:pPr>
      <w:r>
        <w:rPr>
          <w:rFonts w:hint="eastAsia" w:ascii="宋体" w:hAnsi="宋体" w:eastAsia="宋体" w:cs="宋体"/>
          <w:i w:val="0"/>
          <w:iCs w:val="0"/>
          <w:color w:val="827D7D"/>
          <w:sz w:val="24"/>
          <w:szCs w:val="24"/>
        </w:rPr>
        <w:t>榆河公园示范区改造效果图</w:t>
      </w:r>
    </w:p>
    <w:p w14:paraId="011B2493">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ascii="宋体" w:hAnsi="宋体" w:eastAsia="宋体" w:cs="宋体"/>
          <w:sz w:val="24"/>
          <w:szCs w:val="24"/>
          <w:bdr w:val="none" w:color="auto" w:sz="0" w:space="0"/>
        </w:rPr>
      </w:pPr>
    </w:p>
    <w:p w14:paraId="570450FA">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ascii="宋体" w:hAnsi="宋体" w:eastAsia="宋体" w:cs="宋体"/>
          <w:sz w:val="24"/>
          <w:szCs w:val="24"/>
          <w:bdr w:val="none" w:color="auto" w:sz="0" w:space="0"/>
        </w:rPr>
      </w:pPr>
    </w:p>
    <w:p w14:paraId="59DE8D9D">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ascii="宋体" w:hAnsi="宋体" w:eastAsia="宋体" w:cs="宋体"/>
          <w:b/>
          <w:bCs w:val="0"/>
          <w:color w:val="auto"/>
          <w:sz w:val="24"/>
          <w:szCs w:val="24"/>
        </w:rPr>
      </w:pPr>
      <w:r>
        <w:rPr>
          <w:rStyle w:val="5"/>
          <w:rFonts w:hint="eastAsia" w:ascii="宋体" w:hAnsi="宋体" w:eastAsia="宋体" w:cs="宋体"/>
          <w:b/>
          <w:bCs w:val="0"/>
          <w:color w:val="auto"/>
          <w:sz w:val="24"/>
          <w:szCs w:val="24"/>
          <w:bdr w:val="none" w:color="auto" w:sz="0" w:space="0"/>
        </w:rPr>
        <w:t>增进民生福祉  科技守护“烟火气”</w:t>
      </w:r>
    </w:p>
    <w:p w14:paraId="224B19FE">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ascii="宋体" w:hAnsi="宋体" w:eastAsia="宋体" w:cs="宋体"/>
          <w:sz w:val="24"/>
          <w:szCs w:val="24"/>
          <w:bdr w:val="none" w:color="auto" w:sz="0" w:space="0"/>
        </w:rPr>
      </w:pPr>
      <w:r>
        <w:rPr>
          <w:rStyle w:val="5"/>
          <w:rFonts w:hint="eastAsia" w:ascii="宋体" w:hAnsi="宋体" w:eastAsia="宋体" w:cs="宋体"/>
          <w:sz w:val="24"/>
          <w:szCs w:val="24"/>
          <w:bdr w:val="none" w:color="auto" w:sz="0" w:space="0"/>
        </w:rPr>
        <w:t>科技的最高境界，是回归于人，让每一个人都能感受到城市的温度。</w:t>
      </w:r>
      <w:r>
        <w:rPr>
          <w:rFonts w:hint="eastAsia" w:ascii="宋体" w:hAnsi="宋体" w:eastAsia="宋体" w:cs="宋体"/>
          <w:sz w:val="24"/>
          <w:szCs w:val="24"/>
          <w:bdr w:val="none" w:color="auto" w:sz="0" w:space="0"/>
        </w:rPr>
        <w:t>当科技的温度与城市的脉搏交织在一起，民生的画卷便有了最温暖的底色。</w:t>
      </w:r>
    </w:p>
    <w:p w14:paraId="2ED2E1F2">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ascii="宋体" w:hAnsi="宋体" w:eastAsia="宋体" w:cs="宋体"/>
          <w:sz w:val="24"/>
          <w:szCs w:val="24"/>
          <w:bdr w:val="none" w:color="auto" w:sz="0" w:space="0"/>
        </w:rPr>
      </w:pPr>
    </w:p>
    <w:p w14:paraId="3D5C335C">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ascii="宋体" w:hAnsi="宋体" w:eastAsia="宋体" w:cs="宋体"/>
          <w:sz w:val="24"/>
          <w:szCs w:val="24"/>
          <w:bdr w:val="none" w:color="auto" w:sz="0" w:space="0"/>
        </w:rPr>
      </w:pPr>
      <w:r>
        <w:rPr>
          <w:rStyle w:val="5"/>
          <w:rFonts w:hint="eastAsia" w:ascii="宋体" w:hAnsi="宋体" w:eastAsia="宋体" w:cs="宋体"/>
          <w:sz w:val="24"/>
          <w:szCs w:val="24"/>
          <w:bdr w:val="none" w:color="auto" w:sz="0" w:space="0"/>
        </w:rPr>
        <w:t>在增进民生福祉这道“必答题”上，北京正用科技的力量，让城市的关怀精准地抵达每一个需要温暖的角落。</w:t>
      </w:r>
      <w:r>
        <w:rPr>
          <w:rFonts w:hint="eastAsia" w:ascii="宋体" w:hAnsi="宋体" w:eastAsia="宋体" w:cs="宋体"/>
          <w:sz w:val="24"/>
          <w:szCs w:val="24"/>
          <w:bdr w:val="none" w:color="auto" w:sz="0" w:space="0"/>
        </w:rPr>
        <w:t>面向老年群体，沉浸式老年康复机器人让训练不再枯燥，而是变成一场身心愉悦的互动体验，显著提升了康复效果；智能健康监测及社交数字伴侣系统解决了传统养老“医养分离、心理陪伴不足”的难题，让科技成为老人身边有温度的陪伴者。面向残疾人，智能仿生假脚实现了</w:t>
      </w:r>
      <w:r>
        <w:rPr>
          <w:rFonts w:hint="eastAsia" w:ascii="宋体" w:hAnsi="宋体" w:eastAsia="宋体" w:cs="宋体"/>
          <w:b/>
          <w:bCs/>
          <w:sz w:val="24"/>
          <w:szCs w:val="24"/>
          <w:bdr w:val="none" w:color="auto" w:sz="0" w:space="0"/>
        </w:rPr>
        <w:t>5种</w:t>
      </w:r>
      <w:r>
        <w:rPr>
          <w:rFonts w:hint="eastAsia" w:ascii="宋体" w:hAnsi="宋体" w:eastAsia="宋体" w:cs="宋体"/>
          <w:sz w:val="24"/>
          <w:szCs w:val="24"/>
          <w:bdr w:val="none" w:color="auto" w:sz="0" w:space="0"/>
        </w:rPr>
        <w:t>运动模式自动切换，不仅带来了行走的便利，更推动了这一领域的国产化替代。面向中小学生，运动监测与体质健康促进技术正为“小眼镜”“小胖墩”这些成长中的烦恼提供科学的干预手段，用技术创新和数据守护着下一代的健康。</w:t>
      </w:r>
    </w:p>
    <w:p w14:paraId="558C66FE">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ascii="宋体" w:hAnsi="宋体" w:eastAsia="宋体" w:cs="宋体"/>
          <w:sz w:val="24"/>
          <w:szCs w:val="24"/>
          <w:bdr w:val="none" w:color="auto" w:sz="0" w:space="0"/>
        </w:rPr>
      </w:pPr>
    </w:p>
    <w:p w14:paraId="2F3C19DD">
      <w:pPr>
        <w:keepNext w:val="0"/>
        <w:keepLines w:val="0"/>
        <w:widowControl/>
        <w:suppressLineNumbers w:val="0"/>
        <w:jc w:val="left"/>
        <w:rPr>
          <w:rFonts w:hint="eastAsia" w:ascii="宋体" w:hAnsi="宋体" w:eastAsia="宋体" w:cs="宋体"/>
          <w:sz w:val="24"/>
          <w:szCs w:val="24"/>
        </w:rPr>
      </w:pPr>
      <w:r>
        <w:rPr>
          <w:rFonts w:hint="eastAsia" w:ascii="宋体" w:hAnsi="宋体" w:eastAsia="宋体" w:cs="宋体"/>
          <w:kern w:val="0"/>
          <w:sz w:val="24"/>
          <w:szCs w:val="24"/>
          <w:lang w:val="en-US" w:eastAsia="zh-CN" w:bidi="ar"/>
        </w:rPr>
        <w:drawing>
          <wp:inline distT="0" distB="0" distL="114300" distR="114300">
            <wp:extent cx="4400550" cy="5819775"/>
            <wp:effectExtent l="0" t="0" r="6350" b="9525"/>
            <wp:docPr id="10"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descr="IMG_263"/>
                    <pic:cNvPicPr>
                      <a:picLocks noChangeAspect="1"/>
                    </pic:cNvPicPr>
                  </pic:nvPicPr>
                  <pic:blipFill>
                    <a:blip r:embed="rId11"/>
                    <a:stretch>
                      <a:fillRect/>
                    </a:stretch>
                  </pic:blipFill>
                  <pic:spPr>
                    <a:xfrm>
                      <a:off x="0" y="0"/>
                      <a:ext cx="4400550" cy="5819775"/>
                    </a:xfrm>
                    <a:prstGeom prst="rect">
                      <a:avLst/>
                    </a:prstGeom>
                    <a:noFill/>
                    <a:ln w="9525">
                      <a:noFill/>
                    </a:ln>
                  </pic:spPr>
                </pic:pic>
              </a:graphicData>
            </a:graphic>
          </wp:inline>
        </w:drawing>
      </w:r>
    </w:p>
    <w:p w14:paraId="1014D0C9">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rPr>
          <w:rFonts w:hint="eastAsia" w:ascii="宋体" w:hAnsi="宋体" w:eastAsia="宋体" w:cs="宋体"/>
          <w:color w:val="827D7D"/>
          <w:sz w:val="24"/>
          <w:szCs w:val="24"/>
          <w:bdr w:val="none" w:color="auto" w:sz="0" w:space="0"/>
        </w:rPr>
      </w:pPr>
      <w:r>
        <w:rPr>
          <w:rFonts w:hint="eastAsia" w:ascii="宋体" w:hAnsi="宋体" w:eastAsia="宋体" w:cs="宋体"/>
          <w:b/>
          <w:bCs/>
          <w:i w:val="0"/>
          <w:iCs w:val="0"/>
          <w:color w:val="827D7D"/>
          <w:sz w:val="24"/>
          <w:szCs w:val="24"/>
          <w:bdr w:val="none" w:color="auto" w:sz="0" w:space="0"/>
        </w:rPr>
        <w:t>下肢外骨骼康复训练机器人</w:t>
      </w:r>
      <w:r>
        <w:rPr>
          <w:rFonts w:hint="eastAsia" w:ascii="宋体" w:hAnsi="宋体" w:eastAsia="宋体" w:cs="宋体"/>
          <w:color w:val="827D7D"/>
          <w:sz w:val="24"/>
          <w:szCs w:val="24"/>
          <w:bdr w:val="none" w:color="auto" w:sz="0" w:space="0"/>
        </w:rPr>
        <w:t>-通过北京市药监局优先审评通道快速获批上市，成为北京市首个以“机器人”命名获批上市的医疗器械产品。</w:t>
      </w:r>
    </w:p>
    <w:p w14:paraId="62663B2E">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rPr>
          <w:rFonts w:hint="eastAsia" w:ascii="宋体" w:hAnsi="宋体" w:eastAsia="宋体" w:cs="宋体"/>
          <w:color w:val="827D7D"/>
          <w:sz w:val="24"/>
          <w:szCs w:val="24"/>
          <w:bdr w:val="none" w:color="auto" w:sz="0" w:space="0"/>
        </w:rPr>
      </w:pPr>
    </w:p>
    <w:p w14:paraId="19B02489">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sz w:val="24"/>
          <w:szCs w:val="24"/>
          <w:bdr w:val="none" w:color="auto" w:sz="0" w:space="0"/>
        </w:rPr>
      </w:pPr>
      <w:r>
        <w:rPr>
          <w:rStyle w:val="5"/>
          <w:rFonts w:hint="eastAsia" w:ascii="宋体" w:hAnsi="宋体" w:eastAsia="宋体" w:cs="宋体"/>
          <w:sz w:val="24"/>
          <w:szCs w:val="24"/>
          <w:bdr w:val="none" w:color="auto" w:sz="0" w:space="0"/>
        </w:rPr>
        <w:t>智慧交通让每一次出行都成为便捷的体验。</w:t>
      </w:r>
      <w:r>
        <w:rPr>
          <w:rFonts w:hint="eastAsia" w:ascii="宋体" w:hAnsi="宋体" w:eastAsia="宋体" w:cs="宋体"/>
          <w:sz w:val="24"/>
          <w:szCs w:val="24"/>
          <w:bdr w:val="none" w:color="auto" w:sz="0" w:space="0"/>
        </w:rPr>
        <w:t>地铁里，智慧调度技术让全区段的平均运输方案匹配度提升</w:t>
      </w:r>
      <w:r>
        <w:rPr>
          <w:rStyle w:val="5"/>
          <w:rFonts w:hint="eastAsia" w:ascii="宋体" w:hAnsi="宋体" w:eastAsia="宋体" w:cs="宋体"/>
          <w:sz w:val="24"/>
          <w:szCs w:val="24"/>
          <w:bdr w:val="none" w:color="auto" w:sz="0" w:space="0"/>
        </w:rPr>
        <w:t>20%</w:t>
      </w:r>
      <w:r>
        <w:rPr>
          <w:rFonts w:hint="eastAsia" w:ascii="宋体" w:hAnsi="宋体" w:eastAsia="宋体" w:cs="宋体"/>
          <w:sz w:val="24"/>
          <w:szCs w:val="24"/>
          <w:bdr w:val="none" w:color="auto" w:sz="0" w:space="0"/>
        </w:rPr>
        <w:t>，全网乘客的换乘等待时间减少了</w:t>
      </w:r>
      <w:r>
        <w:rPr>
          <w:rStyle w:val="5"/>
          <w:rFonts w:hint="eastAsia" w:ascii="宋体" w:hAnsi="宋体" w:eastAsia="宋体" w:cs="宋体"/>
          <w:sz w:val="24"/>
          <w:szCs w:val="24"/>
          <w:bdr w:val="none" w:color="auto" w:sz="0" w:space="0"/>
        </w:rPr>
        <w:t>26%</w:t>
      </w:r>
      <w:r>
        <w:rPr>
          <w:rFonts w:hint="eastAsia" w:ascii="宋体" w:hAnsi="宋体" w:eastAsia="宋体" w:cs="宋体"/>
          <w:sz w:val="24"/>
          <w:szCs w:val="24"/>
          <w:bdr w:val="none" w:color="auto" w:sz="0" w:space="0"/>
        </w:rPr>
        <w:t>。通过运用新型监测与智能分析技术，突破地铁关键设备的智能警示预警诊断分析，保障地铁高安全运行。大客流出行引导技术实现区域道路交通、轨道交通、地面公交等不同出行方式的监测解析与未来交通态势短时预测，为旅游区、大型活动等区域内外交通高效运转与智慧出行服务提供支撑；在城市的路口，智能信控技术实现路口交通信号自适应优化，助力车流有序通过，显著提高通行效率。</w:t>
      </w:r>
    </w:p>
    <w:p w14:paraId="2DE45EF0">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sz w:val="24"/>
          <w:szCs w:val="24"/>
          <w:bdr w:val="none" w:color="auto" w:sz="0" w:space="0"/>
        </w:rPr>
      </w:pPr>
    </w:p>
    <w:p w14:paraId="670BFF70">
      <w:pPr>
        <w:keepNext w:val="0"/>
        <w:keepLines w:val="0"/>
        <w:widowControl/>
        <w:suppressLineNumbers w:val="0"/>
        <w:jc w:val="left"/>
        <w:rPr>
          <w:rFonts w:hint="eastAsia" w:ascii="宋体" w:hAnsi="宋体" w:eastAsia="宋体" w:cs="宋体"/>
          <w:sz w:val="24"/>
          <w:szCs w:val="24"/>
        </w:rPr>
      </w:pPr>
      <w:r>
        <w:rPr>
          <w:rFonts w:hint="eastAsia" w:ascii="宋体" w:hAnsi="宋体" w:eastAsia="宋体" w:cs="宋体"/>
          <w:kern w:val="0"/>
          <w:sz w:val="24"/>
          <w:szCs w:val="24"/>
          <w:lang w:val="en-US" w:eastAsia="zh-CN" w:bidi="ar"/>
        </w:rPr>
        <w:drawing>
          <wp:inline distT="0" distB="0" distL="114300" distR="114300">
            <wp:extent cx="5273040" cy="2292350"/>
            <wp:effectExtent l="0" t="0" r="10160" b="6350"/>
            <wp:docPr id="11"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descr="IMG_264"/>
                    <pic:cNvPicPr>
                      <a:picLocks noChangeAspect="1"/>
                    </pic:cNvPicPr>
                  </pic:nvPicPr>
                  <pic:blipFill>
                    <a:blip r:embed="rId12"/>
                    <a:stretch>
                      <a:fillRect/>
                    </a:stretch>
                  </pic:blipFill>
                  <pic:spPr>
                    <a:xfrm>
                      <a:off x="0" y="0"/>
                      <a:ext cx="5273040" cy="2292350"/>
                    </a:xfrm>
                    <a:prstGeom prst="rect">
                      <a:avLst/>
                    </a:prstGeom>
                    <a:noFill/>
                    <a:ln w="9525">
                      <a:noFill/>
                    </a:ln>
                  </pic:spPr>
                </pic:pic>
              </a:graphicData>
            </a:graphic>
          </wp:inline>
        </w:drawing>
      </w:r>
    </w:p>
    <w:p w14:paraId="12DEE4EC">
      <w:pPr>
        <w:pStyle w:val="2"/>
        <w:keepNext w:val="0"/>
        <w:keepLines w:val="0"/>
        <w:widowControl/>
        <w:suppressLineNumbers w:val="0"/>
        <w:jc w:val="left"/>
        <w:rPr>
          <w:rFonts w:hint="eastAsia" w:ascii="宋体" w:hAnsi="宋体" w:eastAsia="宋体" w:cs="宋体"/>
          <w:sz w:val="24"/>
          <w:szCs w:val="24"/>
        </w:rPr>
      </w:pPr>
      <w:r>
        <w:rPr>
          <w:rFonts w:hint="eastAsia" w:ascii="宋体" w:hAnsi="宋体" w:eastAsia="宋体" w:cs="宋体"/>
          <w:b/>
          <w:bCs/>
          <w:i w:val="0"/>
          <w:iCs w:val="0"/>
          <w:color w:val="827D7D"/>
          <w:sz w:val="24"/>
          <w:szCs w:val="24"/>
        </w:rPr>
        <w:t>状态预测与健康管理系统 </w:t>
      </w:r>
      <w:r>
        <w:rPr>
          <w:rFonts w:hint="eastAsia" w:ascii="宋体" w:hAnsi="宋体" w:eastAsia="宋体" w:cs="宋体"/>
          <w:color w:val="827D7D"/>
          <w:sz w:val="24"/>
          <w:szCs w:val="24"/>
        </w:rPr>
        <w:t>-</w:t>
      </w:r>
      <w:r>
        <w:rPr>
          <w:rFonts w:hint="eastAsia" w:ascii="宋体" w:hAnsi="宋体" w:eastAsia="宋体" w:cs="宋体"/>
          <w:i w:val="0"/>
          <w:iCs w:val="0"/>
          <w:color w:val="827D7D"/>
          <w:sz w:val="24"/>
          <w:szCs w:val="24"/>
        </w:rPr>
        <w:t>通过在道岔转辙设备上加装多类型传感模块，实时采集转辙设备运行数据，不间断地了解设备“健康状态”。再通过大数据和智能算法，对设备故障进行精准定位和预警分析，实现从设备“坏了再修”到“坏前预警”的转变。</w:t>
      </w:r>
    </w:p>
    <w:p w14:paraId="7A8514BC">
      <w:pPr>
        <w:keepNext w:val="0"/>
        <w:keepLines w:val="0"/>
        <w:widowControl/>
        <w:suppressLineNumbers w:val="0"/>
        <w:jc w:val="left"/>
        <w:rPr>
          <w:rFonts w:hint="eastAsia" w:ascii="宋体" w:hAnsi="宋体" w:eastAsia="宋体" w:cs="宋体"/>
          <w:sz w:val="24"/>
          <w:szCs w:val="24"/>
        </w:rPr>
      </w:pPr>
      <w:r>
        <w:rPr>
          <w:rFonts w:hint="eastAsia" w:ascii="宋体" w:hAnsi="宋体" w:eastAsia="宋体" w:cs="宋体"/>
          <w:kern w:val="0"/>
          <w:sz w:val="24"/>
          <w:szCs w:val="24"/>
          <w:lang w:val="en-US" w:eastAsia="zh-CN" w:bidi="ar"/>
        </w:rPr>
        <w:drawing>
          <wp:inline distT="0" distB="0" distL="114300" distR="114300">
            <wp:extent cx="5266690" cy="2804160"/>
            <wp:effectExtent l="0" t="0" r="3810" b="2540"/>
            <wp:docPr id="1"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IMG_265"/>
                    <pic:cNvPicPr>
                      <a:picLocks noChangeAspect="1"/>
                    </pic:cNvPicPr>
                  </pic:nvPicPr>
                  <pic:blipFill>
                    <a:blip r:embed="rId13"/>
                    <a:stretch>
                      <a:fillRect/>
                    </a:stretch>
                  </pic:blipFill>
                  <pic:spPr>
                    <a:xfrm>
                      <a:off x="0" y="0"/>
                      <a:ext cx="5266690" cy="2804160"/>
                    </a:xfrm>
                    <a:prstGeom prst="rect">
                      <a:avLst/>
                    </a:prstGeom>
                    <a:noFill/>
                    <a:ln w="9525">
                      <a:noFill/>
                    </a:ln>
                  </pic:spPr>
                </pic:pic>
              </a:graphicData>
            </a:graphic>
          </wp:inline>
        </w:drawing>
      </w:r>
    </w:p>
    <w:p w14:paraId="2ACF23CE">
      <w:pPr>
        <w:pStyle w:val="2"/>
        <w:keepNext w:val="0"/>
        <w:keepLines w:val="0"/>
        <w:widowControl/>
        <w:suppressLineNumbers w:val="0"/>
        <w:jc w:val="left"/>
        <w:rPr>
          <w:rFonts w:hint="eastAsia" w:ascii="宋体" w:hAnsi="宋体" w:eastAsia="宋体" w:cs="宋体"/>
          <w:sz w:val="24"/>
          <w:szCs w:val="24"/>
          <w:bdr w:val="none" w:color="auto" w:sz="0" w:space="0"/>
        </w:rPr>
      </w:pPr>
      <w:r>
        <w:rPr>
          <w:rFonts w:hint="eastAsia" w:ascii="宋体" w:hAnsi="宋体" w:eastAsia="宋体" w:cs="宋体"/>
          <w:i w:val="0"/>
          <w:iCs w:val="0"/>
          <w:color w:val="827D7D"/>
          <w:sz w:val="24"/>
          <w:szCs w:val="24"/>
        </w:rPr>
        <w:t>环球度假区大客流出行引导服务</w:t>
      </w:r>
    </w:p>
    <w:p w14:paraId="7D091D8F">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ascii="宋体" w:hAnsi="宋体" w:eastAsia="宋体" w:cs="宋体"/>
          <w:sz w:val="24"/>
          <w:szCs w:val="24"/>
          <w:bdr w:val="none" w:color="auto" w:sz="0" w:space="0"/>
        </w:rPr>
      </w:pPr>
      <w:r>
        <w:rPr>
          <w:rStyle w:val="5"/>
          <w:rFonts w:hint="eastAsia" w:ascii="宋体" w:hAnsi="宋体" w:eastAsia="宋体" w:cs="宋体"/>
          <w:sz w:val="24"/>
          <w:szCs w:val="24"/>
          <w:bdr w:val="none" w:color="auto" w:sz="0" w:space="0"/>
        </w:rPr>
        <w:t>科技的笔触还延伸到了社区的肌理，让“家”的概念变得更加智慧、安全与宜居。</w:t>
      </w:r>
      <w:r>
        <w:rPr>
          <w:rFonts w:hint="eastAsia" w:ascii="宋体" w:hAnsi="宋体" w:eastAsia="宋体" w:cs="宋体"/>
          <w:sz w:val="24"/>
          <w:szCs w:val="24"/>
          <w:bdr w:val="none" w:color="auto" w:sz="0" w:space="0"/>
        </w:rPr>
        <w:t>在北京城市副中心的玉桥街道，一场关于社区风险治理与智慧服务的创新实践正在发生：从设施安全运行到治安风险治理，从社区违规事件的及时发现到智慧停车的精细管理，再到精准贴心的养老服务，科技正将社区治理的精细化水平推向新高。便民数字化治理服务平台，则通过整合智慧停车、智能充电桩、智慧灌溉、智能晾衣杆等一系列应用场景，让居民生活的点滴细节都能感受到科技带来的便捷，提高了生活质量，也勾勒出现代化社区管理的崭新图景。</w:t>
      </w:r>
    </w:p>
    <w:p w14:paraId="0D833528">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ascii="宋体" w:hAnsi="宋体" w:eastAsia="宋体" w:cs="宋体"/>
          <w:sz w:val="24"/>
          <w:szCs w:val="24"/>
          <w:bdr w:val="none" w:color="auto" w:sz="0" w:space="0"/>
        </w:rPr>
      </w:pPr>
    </w:p>
    <w:p w14:paraId="23DD9A4C">
      <w:pPr>
        <w:keepNext w:val="0"/>
        <w:keepLines w:val="0"/>
        <w:widowControl/>
        <w:suppressLineNumbers w:val="0"/>
        <w:jc w:val="left"/>
        <w:rPr>
          <w:rFonts w:hint="eastAsia" w:ascii="宋体" w:hAnsi="宋体" w:eastAsia="宋体" w:cs="宋体"/>
          <w:sz w:val="24"/>
          <w:szCs w:val="24"/>
        </w:rPr>
      </w:pPr>
      <w:r>
        <w:rPr>
          <w:rFonts w:hint="eastAsia" w:ascii="宋体" w:hAnsi="宋体" w:eastAsia="宋体" w:cs="宋体"/>
          <w:kern w:val="0"/>
          <w:sz w:val="24"/>
          <w:szCs w:val="24"/>
          <w:lang w:val="en-US" w:eastAsia="zh-CN" w:bidi="ar"/>
        </w:rPr>
        <w:drawing>
          <wp:inline distT="0" distB="0" distL="114300" distR="114300">
            <wp:extent cx="5266690" cy="2516505"/>
            <wp:effectExtent l="0" t="0" r="3810" b="10795"/>
            <wp:docPr id="2"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1" descr="IMG_266"/>
                    <pic:cNvPicPr>
                      <a:picLocks noChangeAspect="1"/>
                    </pic:cNvPicPr>
                  </pic:nvPicPr>
                  <pic:blipFill>
                    <a:blip r:embed="rId14"/>
                    <a:stretch>
                      <a:fillRect/>
                    </a:stretch>
                  </pic:blipFill>
                  <pic:spPr>
                    <a:xfrm>
                      <a:off x="0" y="0"/>
                      <a:ext cx="5266690" cy="2516505"/>
                    </a:xfrm>
                    <a:prstGeom prst="rect">
                      <a:avLst/>
                    </a:prstGeom>
                    <a:noFill/>
                    <a:ln w="9525">
                      <a:noFill/>
                    </a:ln>
                  </pic:spPr>
                </pic:pic>
              </a:graphicData>
            </a:graphic>
          </wp:inline>
        </w:drawing>
      </w:r>
    </w:p>
    <w:p w14:paraId="2E054617">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5"/>
          <w:rFonts w:hint="eastAsia" w:ascii="宋体" w:hAnsi="宋体" w:eastAsia="宋体" w:cs="宋体"/>
          <w:color w:val="1E62A9"/>
          <w:sz w:val="24"/>
          <w:szCs w:val="24"/>
          <w:bdr w:val="none" w:color="auto" w:sz="0" w:space="0"/>
        </w:rPr>
      </w:pPr>
    </w:p>
    <w:p w14:paraId="5DCB4408">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5"/>
          <w:rFonts w:hint="eastAsia" w:ascii="宋体" w:hAnsi="宋体" w:eastAsia="宋体" w:cs="宋体"/>
          <w:sz w:val="24"/>
          <w:szCs w:val="24"/>
          <w:bdr w:val="none" w:color="auto" w:sz="0" w:space="0"/>
        </w:rPr>
      </w:pPr>
      <w:r>
        <w:rPr>
          <w:rStyle w:val="5"/>
          <w:rFonts w:hint="eastAsia" w:ascii="宋体" w:hAnsi="宋体" w:eastAsia="宋体" w:cs="宋体"/>
          <w:color w:val="1E62A9"/>
          <w:sz w:val="24"/>
          <w:szCs w:val="24"/>
          <w:bdr w:val="none" w:color="auto" w:sz="0" w:space="0"/>
        </w:rPr>
        <w:t>这五年来，科技之于北京，已从蓝图构想化为生动实践，从单点突破走向系统融合。</w:t>
      </w:r>
      <w:r>
        <w:rPr>
          <w:rStyle w:val="5"/>
          <w:rFonts w:hint="eastAsia" w:ascii="宋体" w:hAnsi="宋体" w:eastAsia="宋体" w:cs="宋体"/>
          <w:sz w:val="24"/>
          <w:szCs w:val="24"/>
          <w:bdr w:val="none" w:color="auto" w:sz="0" w:space="0"/>
        </w:rPr>
        <w:t>它化作守护安全的基石，绘就生态的画笔，传递民生的温度，最终融入了这座城市的呼吸与脉搏。</w:t>
      </w:r>
    </w:p>
    <w:p w14:paraId="7158950B">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5"/>
          <w:rFonts w:hint="eastAsia" w:ascii="宋体" w:hAnsi="宋体" w:eastAsia="宋体" w:cs="宋体"/>
          <w:sz w:val="24"/>
          <w:szCs w:val="24"/>
          <w:bdr w:val="none" w:color="auto" w:sz="0" w:space="0"/>
        </w:rPr>
      </w:pPr>
    </w:p>
    <w:p w14:paraId="52D5DE04">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ascii="宋体" w:hAnsi="宋体" w:eastAsia="宋体" w:cs="宋体"/>
          <w:sz w:val="24"/>
          <w:szCs w:val="24"/>
        </w:rPr>
      </w:pPr>
      <w:r>
        <w:rPr>
          <w:rStyle w:val="5"/>
          <w:rFonts w:hint="eastAsia" w:ascii="宋体" w:hAnsi="宋体" w:eastAsia="宋体" w:cs="宋体"/>
          <w:color w:val="1E62A9"/>
          <w:sz w:val="24"/>
          <w:szCs w:val="24"/>
          <w:bdr w:val="none" w:color="auto" w:sz="0" w:space="0"/>
        </w:rPr>
        <w:t>展望“十五五”，创新的脚步不会停歇。科技之光将继续照亮北京前行的路，在建设国际一流和谐宜居之都的画卷上，书写更多“京”彩篇章。而这束光的终点，永远是生活在这座城市里，每一个鲜活而具体的你。</w:t>
      </w:r>
    </w:p>
    <w:p w14:paraId="44D795A8">
      <w:pPr>
        <w:keepNext w:val="0"/>
        <w:keepLines w:val="0"/>
        <w:widowControl/>
        <w:suppressLineNumbers w:val="0"/>
        <w:jc w:val="left"/>
        <w:rPr>
          <w:rFonts w:hint="eastAsia" w:ascii="宋体" w:hAnsi="宋体" w:eastAsia="宋体" w:cs="宋体"/>
          <w:sz w:val="24"/>
          <w:szCs w:val="24"/>
        </w:rPr>
      </w:pPr>
      <w:r>
        <w:rPr>
          <w:rFonts w:hint="eastAsia" w:ascii="宋体" w:hAnsi="宋体" w:eastAsia="宋体" w:cs="宋体"/>
          <w:kern w:val="0"/>
          <w:sz w:val="24"/>
          <w:szCs w:val="24"/>
          <w:lang w:val="en-US" w:eastAsia="zh-CN" w:bidi="ar"/>
        </w:rPr>
        <w:drawing>
          <wp:inline distT="0" distB="0" distL="114300" distR="114300">
            <wp:extent cx="4762500" cy="8458200"/>
            <wp:effectExtent l="0" t="0" r="0" b="0"/>
            <wp:docPr id="3"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3" descr="IMG_268"/>
                    <pic:cNvPicPr>
                      <a:picLocks noChangeAspect="1"/>
                    </pic:cNvPicPr>
                  </pic:nvPicPr>
                  <pic:blipFill>
                    <a:blip r:embed="rId15"/>
                    <a:stretch>
                      <a:fillRect/>
                    </a:stretch>
                  </pic:blipFill>
                  <pic:spPr>
                    <a:xfrm>
                      <a:off x="0" y="0"/>
                      <a:ext cx="4762500" cy="8458200"/>
                    </a:xfrm>
                    <a:prstGeom prst="rect">
                      <a:avLst/>
                    </a:prstGeom>
                    <a:noFill/>
                    <a:ln w="9525">
                      <a:noFill/>
                    </a:ln>
                  </pic:spPr>
                </pic:pic>
              </a:graphicData>
            </a:graphic>
          </wp:inline>
        </w:drawing>
      </w:r>
    </w:p>
    <w:p w14:paraId="79114FDD">
      <w:pPr>
        <w:rPr>
          <w:rFonts w:hint="eastAsia" w:ascii="宋体" w:hAnsi="宋体" w:eastAsia="宋体" w:cs="宋体"/>
          <w:sz w:val="24"/>
          <w:szCs w:val="24"/>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Microsoft YaHei UI">
    <w:panose1 w:val="020B0503020204020204"/>
    <w:charset w:val="86"/>
    <w:family w:val="auto"/>
    <w:pitch w:val="default"/>
    <w:sig w:usb0="80000287" w:usb1="2ACF3C50" w:usb2="00000016" w:usb3="00000000" w:csb0="0004001F" w:csb1="00000000"/>
  </w:font>
  <w:font w:name="微软雅黑">
    <w:panose1 w:val="020B0503020204020204"/>
    <w:charset w:val="86"/>
    <w:family w:val="auto"/>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2"/>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D966BFE"/>
    <w:rsid w:val="6D966BF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paragraph" w:styleId="2">
    <w:name w:val="Normal (Web)"/>
    <w:basedOn w:val="1"/>
    <w:uiPriority w:val="0"/>
    <w:pPr>
      <w:spacing w:before="0" w:beforeAutospacing="1" w:after="0" w:afterAutospacing="1"/>
      <w:ind w:left="0" w:right="0"/>
      <w:jc w:val="left"/>
    </w:pPr>
    <w:rPr>
      <w:kern w:val="0"/>
      <w:sz w:val="24"/>
      <w:lang w:val="en-US" w:eastAsia="zh-CN" w:bidi="ar"/>
    </w:rPr>
  </w:style>
  <w:style w:type="character" w:styleId="5">
    <w:name w:val="Strong"/>
    <w:basedOn w:val="4"/>
    <w:qFormat/>
    <w:uiPriority w:val="0"/>
    <w:rPr>
      <w:b/>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image" Target="media/image12.GIF"/><Relationship Id="rId14" Type="http://schemas.openxmlformats.org/officeDocument/2006/relationships/image" Target="media/image11.pn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游ゴシック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11</Pages>
  <Words>0</Words>
  <Characters>0</Characters>
  <Lines>0</Lines>
  <Paragraphs>0</Paragraphs>
  <TotalTime>7</TotalTime>
  <ScaleCrop>false</ScaleCrop>
  <LinksUpToDate>false</LinksUpToDate>
  <CharactersWithSpaces>0</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2026-04-02T10:07:00Z</dcterms:created>
  <dc:creator>微信用户</dc:creator>
  <cp:lastModifiedBy>微信用户</cp:lastModifiedBy>
  <dcterms:modified xsi:type="dcterms:W3CDTF">2026-04-02T10:18:07Z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4A1B9CC0FB7847278A707734DF094705_11</vt:lpwstr>
  </property>
  <property fmtid="{D5CDD505-2E9C-101B-9397-08002B2CF9AE}" pid="4" name="KSOTemplateDocerSaveRecord">
    <vt:lpwstr>eyJoZGlkIjoiNjk0N2RmNDRhYzhlYzM1ZTc5NzUyNDZmM2JiMzRhOTMiLCJ1c2VySWQiOiIxMjYzMDc1NjA5In0=</vt:lpwstr>
  </property>
</Properties>
</file>