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549136">
      <w:pPr>
        <w:pStyle w:val="2"/>
        <w:keepNext w:val="0"/>
        <w:keepLines w:val="0"/>
        <w:widowControl/>
        <w:suppressLineNumbers w:val="0"/>
        <w:jc w:val="center"/>
        <w:rPr>
          <w:rFonts w:hint="eastAsia" w:ascii="方正小标宋简体" w:hAnsi="方正小标宋简体" w:eastAsia="方正小标宋简体" w:cs="方正小标宋简体"/>
          <w:sz w:val="44"/>
          <w:szCs w:val="44"/>
        </w:rPr>
      </w:pPr>
      <w:bookmarkStart w:id="0" w:name="_GoBack"/>
      <w:bookmarkEnd w:id="0"/>
      <w:r>
        <w:rPr>
          <w:rFonts w:hint="eastAsia" w:ascii="方正小标宋简体" w:hAnsi="方正小标宋简体" w:eastAsia="方正小标宋简体" w:cs="方正小标宋简体"/>
          <w:sz w:val="44"/>
          <w:szCs w:val="44"/>
        </w:rPr>
        <w:t>“共筑京港澳AI创新生态”2026中关村论坛年会——京港澳科技创新论坛在京举办</w:t>
      </w:r>
    </w:p>
    <w:p w14:paraId="01C4A273">
      <w:pPr>
        <w:pStyle w:val="2"/>
        <w:keepNext w:val="0"/>
        <w:keepLines w:val="0"/>
        <w:widowControl/>
        <w:suppressLineNumbers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月27日下午，2026中关村论坛年会——京港澳科技创新论坛暨第九届“京港青创杯”创业大赛北京选拔赛在中关村国际创新中心举办。本次论坛聚焦京港澳三地人工智能领域的成果转化、产业协同与国际合作等议题，旨在建设开放、协同、富有活力的人工智能创新生态，共商合作新机遇。</w:t>
      </w:r>
    </w:p>
    <w:p w14:paraId="7B117798">
      <w:pPr>
        <w:keepNext w:val="0"/>
        <w:keepLines w:val="0"/>
        <w:widowControl/>
        <w:suppressLineNumbers w:val="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bidi="ar"/>
        </w:rPr>
        <w:drawing>
          <wp:inline distT="0" distB="0" distL="114300" distR="114300">
            <wp:extent cx="5266690" cy="2960370"/>
            <wp:effectExtent l="0" t="0" r="3810" b="1143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266690" cy="2960370"/>
                    </a:xfrm>
                    <a:prstGeom prst="rect">
                      <a:avLst/>
                    </a:prstGeom>
                    <a:noFill/>
                    <a:ln w="9525">
                      <a:noFill/>
                    </a:ln>
                  </pic:spPr>
                </pic:pic>
              </a:graphicData>
            </a:graphic>
          </wp:inline>
        </w:drawing>
      </w:r>
    </w:p>
    <w:p w14:paraId="3608F5B4">
      <w:pPr>
        <w:pStyle w:val="2"/>
        <w:keepNext w:val="0"/>
        <w:keepLines w:val="0"/>
        <w:widowControl/>
        <w:suppressLineNumbers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论坛由北京市科学技术委员会、中关村科技园区管理委员会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以下简称</w:t>
      </w:r>
      <w:r>
        <w:rPr>
          <w:rFonts w:hint="eastAsia" w:ascii="仿宋_GB2312" w:hAnsi="仿宋_GB2312" w:eastAsia="仿宋_GB2312" w:cs="仿宋_GB2312"/>
          <w:sz w:val="32"/>
          <w:szCs w:val="32"/>
        </w:rPr>
        <w:t>市科委、中关村管委会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与香港贸易发展局、澳门经济及科技发展局共同主办，北京国际科技合作中心（北京港澳台科技合作中心）、中关村京港澳青年创新创业中心承办，并得到香港创新科技及工业局大力支持。</w:t>
      </w:r>
    </w:p>
    <w:p w14:paraId="06C75FAE">
      <w:pPr>
        <w:pStyle w:val="2"/>
        <w:keepNext w:val="0"/>
        <w:keepLines w:val="0"/>
        <w:widowControl/>
        <w:suppressLineNumbers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市科委、中关村管委会副主任杨璞在致辞中对京港澳开展人工智能生态合作提出倡议，希望三地可以深化跨境协同合作，培育开放创新生态，促进合作成果落地转化。</w:t>
      </w:r>
    </w:p>
    <w:p w14:paraId="41B629C2">
      <w:pPr>
        <w:keepNext w:val="0"/>
        <w:keepLines w:val="0"/>
        <w:widowControl/>
        <w:suppressLineNumbers w:val="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bidi="ar"/>
        </w:rPr>
        <w:drawing>
          <wp:inline distT="0" distB="0" distL="114300" distR="114300">
            <wp:extent cx="5266690" cy="3511550"/>
            <wp:effectExtent l="0" t="0" r="3810" b="6350"/>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5"/>
                    <a:stretch>
                      <a:fillRect/>
                    </a:stretch>
                  </pic:blipFill>
                  <pic:spPr>
                    <a:xfrm>
                      <a:off x="0" y="0"/>
                      <a:ext cx="5266690" cy="3511550"/>
                    </a:xfrm>
                    <a:prstGeom prst="rect">
                      <a:avLst/>
                    </a:prstGeom>
                    <a:noFill/>
                    <a:ln w="9525">
                      <a:noFill/>
                    </a:ln>
                  </pic:spPr>
                </pic:pic>
              </a:graphicData>
            </a:graphic>
          </wp:inline>
        </w:drawing>
      </w:r>
    </w:p>
    <w:p w14:paraId="3D9766A0">
      <w:pPr>
        <w:pStyle w:val="2"/>
        <w:keepNext w:val="0"/>
        <w:keepLines w:val="0"/>
        <w:widowControl/>
        <w:suppressLineNumbers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香港创新科技及工业局副局长张曼莉表示，香港将继续发挥“背靠祖国、联通世界”的独特优势，在科研合作、国际资源链接等方面不断发力，助力三地创新要素高效流动。</w:t>
      </w:r>
    </w:p>
    <w:p w14:paraId="67235EFE">
      <w:pPr>
        <w:keepNext w:val="0"/>
        <w:keepLines w:val="0"/>
        <w:widowControl/>
        <w:suppressLineNumbers w:val="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bidi="ar"/>
        </w:rPr>
        <w:drawing>
          <wp:inline distT="0" distB="0" distL="114300" distR="114300">
            <wp:extent cx="5266690" cy="3511550"/>
            <wp:effectExtent l="0" t="0" r="3810" b="635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5266690" cy="3511550"/>
                    </a:xfrm>
                    <a:prstGeom prst="rect">
                      <a:avLst/>
                    </a:prstGeom>
                    <a:noFill/>
                    <a:ln w="9525">
                      <a:noFill/>
                    </a:ln>
                  </pic:spPr>
                </pic:pic>
              </a:graphicData>
            </a:graphic>
          </wp:inline>
        </w:drawing>
      </w:r>
    </w:p>
    <w:p w14:paraId="1C0A4C14">
      <w:pPr>
        <w:pStyle w:val="2"/>
        <w:keepNext w:val="0"/>
        <w:keepLines w:val="0"/>
        <w:widowControl/>
        <w:suppressLineNumbers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澳门经济及科技发展局副局长陈祖荣介绍了澳门持续加强科技创新布局、加快推进科技研发产业园建设的最新进展，为前沿技术落地和产业发展提供有力支撑。</w:t>
      </w:r>
    </w:p>
    <w:p w14:paraId="2A1A0127">
      <w:pPr>
        <w:keepNext w:val="0"/>
        <w:keepLines w:val="0"/>
        <w:widowControl/>
        <w:suppressLineNumbers w:val="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bidi="ar"/>
        </w:rPr>
        <w:drawing>
          <wp:inline distT="0" distB="0" distL="114300" distR="114300">
            <wp:extent cx="5266690" cy="3511550"/>
            <wp:effectExtent l="0" t="0" r="3810" b="6350"/>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7"/>
                    <a:stretch>
                      <a:fillRect/>
                    </a:stretch>
                  </pic:blipFill>
                  <pic:spPr>
                    <a:xfrm>
                      <a:off x="0" y="0"/>
                      <a:ext cx="5266690" cy="3511550"/>
                    </a:xfrm>
                    <a:prstGeom prst="rect">
                      <a:avLst/>
                    </a:prstGeom>
                    <a:noFill/>
                    <a:ln w="9525">
                      <a:noFill/>
                    </a:ln>
                  </pic:spPr>
                </pic:pic>
              </a:graphicData>
            </a:graphic>
          </wp:inline>
        </w:drawing>
      </w:r>
    </w:p>
    <w:p w14:paraId="04796876">
      <w:pPr>
        <w:pStyle w:val="2"/>
        <w:keepNext w:val="0"/>
        <w:keepLines w:val="0"/>
        <w:widowControl/>
        <w:suppressLineNumbers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香港贸易发展局中国内地总代表钟永喜则表示，将进一步依托京港科技协同创新平台，推动北京科技企业借助香港国际化平台对接全球资源、拓展海外市场。</w:t>
      </w:r>
    </w:p>
    <w:p w14:paraId="55A5C2AD">
      <w:pPr>
        <w:keepNext w:val="0"/>
        <w:keepLines w:val="0"/>
        <w:widowControl/>
        <w:suppressLineNumbers w:val="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bidi="ar"/>
        </w:rPr>
        <w:drawing>
          <wp:inline distT="0" distB="0" distL="114300" distR="114300">
            <wp:extent cx="5266690" cy="3511550"/>
            <wp:effectExtent l="0" t="0" r="3810" b="6350"/>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8"/>
                    <a:stretch>
                      <a:fillRect/>
                    </a:stretch>
                  </pic:blipFill>
                  <pic:spPr>
                    <a:xfrm>
                      <a:off x="0" y="0"/>
                      <a:ext cx="5266690" cy="3511550"/>
                    </a:xfrm>
                    <a:prstGeom prst="rect">
                      <a:avLst/>
                    </a:prstGeom>
                    <a:noFill/>
                    <a:ln w="9525">
                      <a:noFill/>
                    </a:ln>
                  </pic:spPr>
                </pic:pic>
              </a:graphicData>
            </a:graphic>
          </wp:inline>
        </w:drawing>
      </w:r>
    </w:p>
    <w:p w14:paraId="678441C4">
      <w:pPr>
        <w:pStyle w:val="2"/>
        <w:keepNext w:val="0"/>
        <w:keepLines w:val="0"/>
        <w:widowControl/>
        <w:suppressLineNumbers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签约环节中，中关村京港澳青年创新创业中心与澳门国际科技产业中心围绕共建“中关村人工智能企业出海服务站（港澳）”签署合作协议。北京云迹科技股份有限公司与香港理工大学、Bluepin Internation聚焦服务智能机器人场景落地，签署战略合作协议。</w:t>
      </w:r>
    </w:p>
    <w:p w14:paraId="049D88F0">
      <w:pPr>
        <w:keepNext w:val="0"/>
        <w:keepLines w:val="0"/>
        <w:widowControl/>
        <w:suppressLineNumbers w:val="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bidi="ar"/>
        </w:rPr>
        <w:drawing>
          <wp:inline distT="0" distB="0" distL="114300" distR="114300">
            <wp:extent cx="5266690" cy="3511550"/>
            <wp:effectExtent l="0" t="0" r="3810" b="6350"/>
            <wp:docPr id="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9"/>
                    <a:stretch>
                      <a:fillRect/>
                    </a:stretch>
                  </pic:blipFill>
                  <pic:spPr>
                    <a:xfrm>
                      <a:off x="0" y="0"/>
                      <a:ext cx="5266690" cy="3511550"/>
                    </a:xfrm>
                    <a:prstGeom prst="rect">
                      <a:avLst/>
                    </a:prstGeom>
                    <a:noFill/>
                    <a:ln w="9525">
                      <a:noFill/>
                    </a:ln>
                  </pic:spPr>
                </pic:pic>
              </a:graphicData>
            </a:graphic>
          </wp:inline>
        </w:drawing>
      </w:r>
    </w:p>
    <w:p w14:paraId="796D60F5">
      <w:pPr>
        <w:pStyle w:val="2"/>
        <w:keepNext w:val="0"/>
        <w:keepLines w:val="0"/>
        <w:widowControl/>
        <w:suppressLineNumbers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在主旨演讲环节，香港中文大学副校长金国庆教授、澳门科技大学副校长何耀教授分别介绍了港澳在开展人工智能技术研究与应用方面的新进展，通过更高水平的人才培养与学术协同夯实创新根基。</w:t>
      </w:r>
    </w:p>
    <w:p w14:paraId="5F7BE45E">
      <w:pPr>
        <w:keepNext w:val="0"/>
        <w:keepLines w:val="0"/>
        <w:widowControl/>
        <w:suppressLineNumbers w:val="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bidi="ar"/>
        </w:rPr>
        <w:drawing>
          <wp:inline distT="0" distB="0" distL="114300" distR="114300">
            <wp:extent cx="5266690" cy="3511550"/>
            <wp:effectExtent l="0" t="0" r="3810" b="6350"/>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0"/>
                    <a:stretch>
                      <a:fillRect/>
                    </a:stretch>
                  </pic:blipFill>
                  <pic:spPr>
                    <a:xfrm>
                      <a:off x="0" y="0"/>
                      <a:ext cx="5266690" cy="3511550"/>
                    </a:xfrm>
                    <a:prstGeom prst="rect">
                      <a:avLst/>
                    </a:prstGeom>
                    <a:noFill/>
                    <a:ln w="9525">
                      <a:noFill/>
                    </a:ln>
                  </pic:spPr>
                </pic:pic>
              </a:graphicData>
            </a:graphic>
          </wp:inline>
        </w:drawing>
      </w:r>
      <w:r>
        <w:rPr>
          <w:rFonts w:hint="eastAsia" w:ascii="仿宋_GB2312" w:hAnsi="仿宋_GB2312" w:eastAsia="仿宋_GB2312" w:cs="仿宋_GB2312"/>
          <w:kern w:val="0"/>
          <w:sz w:val="32"/>
          <w:szCs w:val="32"/>
          <w:lang w:val="en-US" w:eastAsia="zh-CN" w:bidi="ar"/>
        </w:rPr>
        <w:drawing>
          <wp:inline distT="0" distB="0" distL="114300" distR="114300">
            <wp:extent cx="5266690" cy="2940685"/>
            <wp:effectExtent l="0" t="0" r="3810" b="5715"/>
            <wp:docPr id="1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63"/>
                    <pic:cNvPicPr>
                      <a:picLocks noChangeAspect="1"/>
                    </pic:cNvPicPr>
                  </pic:nvPicPr>
                  <pic:blipFill>
                    <a:blip r:embed="rId11"/>
                    <a:stretch>
                      <a:fillRect/>
                    </a:stretch>
                  </pic:blipFill>
                  <pic:spPr>
                    <a:xfrm>
                      <a:off x="0" y="0"/>
                      <a:ext cx="5266690" cy="2940685"/>
                    </a:xfrm>
                    <a:prstGeom prst="rect">
                      <a:avLst/>
                    </a:prstGeom>
                    <a:noFill/>
                    <a:ln w="9525">
                      <a:noFill/>
                    </a:ln>
                  </pic:spPr>
                </pic:pic>
              </a:graphicData>
            </a:graphic>
          </wp:inline>
        </w:drawing>
      </w:r>
    </w:p>
    <w:p w14:paraId="2FA4E731">
      <w:pPr>
        <w:pStyle w:val="2"/>
        <w:keepNext w:val="0"/>
        <w:keepLines w:val="0"/>
        <w:widowControl/>
        <w:suppressLineNumbers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香港交易所董事总经理、环球上市服务部主管徐经纬就“香港资本市场助力人工智能产业发展”发表主旨演讲，介绍了香港资本市场在支持科技企业发展中的平台作用。</w:t>
      </w:r>
    </w:p>
    <w:p w14:paraId="16928A4F">
      <w:pPr>
        <w:keepNext w:val="0"/>
        <w:keepLines w:val="0"/>
        <w:widowControl/>
        <w:suppressLineNumbers w:val="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bidi="ar"/>
        </w:rPr>
        <w:drawing>
          <wp:inline distT="0" distB="0" distL="114300" distR="114300">
            <wp:extent cx="5266690" cy="3511550"/>
            <wp:effectExtent l="0" t="0" r="3810" b="6350"/>
            <wp:docPr id="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IMG_264"/>
                    <pic:cNvPicPr>
                      <a:picLocks noChangeAspect="1"/>
                    </pic:cNvPicPr>
                  </pic:nvPicPr>
                  <pic:blipFill>
                    <a:blip r:embed="rId12"/>
                    <a:stretch>
                      <a:fillRect/>
                    </a:stretch>
                  </pic:blipFill>
                  <pic:spPr>
                    <a:xfrm>
                      <a:off x="0" y="0"/>
                      <a:ext cx="5266690" cy="3511550"/>
                    </a:xfrm>
                    <a:prstGeom prst="rect">
                      <a:avLst/>
                    </a:prstGeom>
                    <a:noFill/>
                    <a:ln w="9525">
                      <a:noFill/>
                    </a:ln>
                  </pic:spPr>
                </pic:pic>
              </a:graphicData>
            </a:graphic>
          </wp:inline>
        </w:drawing>
      </w:r>
    </w:p>
    <w:p w14:paraId="66423407">
      <w:pPr>
        <w:pStyle w:val="2"/>
        <w:keepNext w:val="0"/>
        <w:keepLines w:val="0"/>
        <w:widowControl/>
        <w:suppressLineNumbers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星海图（北京）人工智能科技股份有限公司合伙人兼CFO罗天奇和北京水守智能科技有限公司董事长冉伟，分别围绕具身智能的原创技术突破与开发者生态构建、AI大模型在金融保险等垂直行业的深度应用，分享了人工智能技术创新与产业落地的实践经验。</w:t>
      </w:r>
    </w:p>
    <w:p w14:paraId="1DD9535B">
      <w:pPr>
        <w:keepNext w:val="0"/>
        <w:keepLines w:val="0"/>
        <w:widowControl/>
        <w:suppressLineNumbers w:val="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bidi="ar"/>
        </w:rPr>
        <w:drawing>
          <wp:inline distT="0" distB="0" distL="114300" distR="114300">
            <wp:extent cx="5266690" cy="3023870"/>
            <wp:effectExtent l="0" t="0" r="3810" b="11430"/>
            <wp:docPr id="1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5"/>
                    <pic:cNvPicPr>
                      <a:picLocks noChangeAspect="1"/>
                    </pic:cNvPicPr>
                  </pic:nvPicPr>
                  <pic:blipFill>
                    <a:blip r:embed="rId13"/>
                    <a:stretch>
                      <a:fillRect/>
                    </a:stretch>
                  </pic:blipFill>
                  <pic:spPr>
                    <a:xfrm>
                      <a:off x="0" y="0"/>
                      <a:ext cx="5266690" cy="3023870"/>
                    </a:xfrm>
                    <a:prstGeom prst="rect">
                      <a:avLst/>
                    </a:prstGeom>
                    <a:noFill/>
                    <a:ln w="9525">
                      <a:noFill/>
                    </a:ln>
                  </pic:spPr>
                </pic:pic>
              </a:graphicData>
            </a:graphic>
          </wp:inline>
        </w:drawing>
      </w:r>
      <w:r>
        <w:rPr>
          <w:rFonts w:hint="eastAsia" w:ascii="仿宋_GB2312" w:hAnsi="仿宋_GB2312" w:eastAsia="仿宋_GB2312" w:cs="仿宋_GB2312"/>
          <w:kern w:val="0"/>
          <w:sz w:val="32"/>
          <w:szCs w:val="32"/>
          <w:lang w:val="en-US" w:eastAsia="zh-CN" w:bidi="ar"/>
        </w:rPr>
        <w:drawing>
          <wp:inline distT="0" distB="0" distL="114300" distR="114300">
            <wp:extent cx="5266690" cy="3511550"/>
            <wp:effectExtent l="0" t="0" r="3810" b="6350"/>
            <wp:docPr id="1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66"/>
                    <pic:cNvPicPr>
                      <a:picLocks noChangeAspect="1"/>
                    </pic:cNvPicPr>
                  </pic:nvPicPr>
                  <pic:blipFill>
                    <a:blip r:embed="rId14"/>
                    <a:stretch>
                      <a:fillRect/>
                    </a:stretch>
                  </pic:blipFill>
                  <pic:spPr>
                    <a:xfrm>
                      <a:off x="0" y="0"/>
                      <a:ext cx="5266690" cy="3511550"/>
                    </a:xfrm>
                    <a:prstGeom prst="rect">
                      <a:avLst/>
                    </a:prstGeom>
                    <a:noFill/>
                    <a:ln w="9525">
                      <a:noFill/>
                    </a:ln>
                  </pic:spPr>
                </pic:pic>
              </a:graphicData>
            </a:graphic>
          </wp:inline>
        </w:drawing>
      </w:r>
    </w:p>
    <w:p w14:paraId="002CBA86">
      <w:pPr>
        <w:pStyle w:val="2"/>
        <w:keepNext w:val="0"/>
        <w:keepLines w:val="0"/>
        <w:widowControl/>
        <w:suppressLineNumbers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对话环节，普强（国际）科技有限公司创始人何国涛、北京云迹科技股份有限公司副总裁谢云鹏、香港生产力促进局首席数码总监黎少斌、香港数码港业务发展总监霍露明、澳门国际科技产业中心主任余成斌、澳门生产力暨科技转移中心理事长关治平等嘉宾，围绕“京港澳三地AI创新生态助力中关村人工智能企业加速发展”深入交流。</w:t>
      </w:r>
    </w:p>
    <w:p w14:paraId="7EF0BACE">
      <w:pPr>
        <w:keepNext w:val="0"/>
        <w:keepLines w:val="0"/>
        <w:widowControl/>
        <w:suppressLineNumbers w:val="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bidi="ar"/>
        </w:rPr>
        <w:drawing>
          <wp:inline distT="0" distB="0" distL="114300" distR="114300">
            <wp:extent cx="5266690" cy="3404235"/>
            <wp:effectExtent l="0" t="0" r="3810" b="12065"/>
            <wp:docPr id="1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67"/>
                    <pic:cNvPicPr>
                      <a:picLocks noChangeAspect="1"/>
                    </pic:cNvPicPr>
                  </pic:nvPicPr>
                  <pic:blipFill>
                    <a:blip r:embed="rId15"/>
                    <a:stretch>
                      <a:fillRect/>
                    </a:stretch>
                  </pic:blipFill>
                  <pic:spPr>
                    <a:xfrm>
                      <a:off x="0" y="0"/>
                      <a:ext cx="5266690" cy="3404235"/>
                    </a:xfrm>
                    <a:prstGeom prst="rect">
                      <a:avLst/>
                    </a:prstGeom>
                    <a:noFill/>
                    <a:ln w="9525">
                      <a:noFill/>
                    </a:ln>
                  </pic:spPr>
                </pic:pic>
              </a:graphicData>
            </a:graphic>
          </wp:inline>
        </w:drawing>
      </w:r>
    </w:p>
    <w:p w14:paraId="6A89828E">
      <w:pPr>
        <w:pStyle w:val="2"/>
        <w:keepNext w:val="0"/>
        <w:keepLines w:val="0"/>
        <w:widowControl/>
        <w:suppressLineNumbers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最后，第九届“京港青创杯”创业大赛北京选拔赛拉开帷幕。香港特区政府驻京办副主任袁嘉诺出席大赛并致辞，表达了对大赛以及参赛选手的支持与鼓励。</w:t>
      </w:r>
    </w:p>
    <w:p w14:paraId="4EDB21AD">
      <w:pPr>
        <w:keepNext w:val="0"/>
        <w:keepLines w:val="0"/>
        <w:widowControl/>
        <w:suppressLineNumbers w:val="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bidi="ar"/>
        </w:rPr>
        <w:drawing>
          <wp:inline distT="0" distB="0" distL="114300" distR="114300">
            <wp:extent cx="5266690" cy="3511550"/>
            <wp:effectExtent l="0" t="0" r="3810" b="6350"/>
            <wp:docPr id="1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8"/>
                    <pic:cNvPicPr>
                      <a:picLocks noChangeAspect="1"/>
                    </pic:cNvPicPr>
                  </pic:nvPicPr>
                  <pic:blipFill>
                    <a:blip r:embed="rId16"/>
                    <a:stretch>
                      <a:fillRect/>
                    </a:stretch>
                  </pic:blipFill>
                  <pic:spPr>
                    <a:xfrm>
                      <a:off x="0" y="0"/>
                      <a:ext cx="5266690" cy="3511550"/>
                    </a:xfrm>
                    <a:prstGeom prst="rect">
                      <a:avLst/>
                    </a:prstGeom>
                    <a:noFill/>
                    <a:ln w="9525">
                      <a:noFill/>
                    </a:ln>
                  </pic:spPr>
                </pic:pic>
              </a:graphicData>
            </a:graphic>
          </wp:inline>
        </w:drawing>
      </w:r>
    </w:p>
    <w:p w14:paraId="49009194">
      <w:pPr>
        <w:pStyle w:val="2"/>
        <w:keepNext w:val="0"/>
        <w:keepLines w:val="0"/>
        <w:widowControl/>
        <w:suppressLineNumbers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德勤中国荣誉合伙人、香港大学名誉院士施能自，一奇资本联合创始人王琨，溪山天使汇发起人许晖等评委对参赛项目进行专业评审，全球领先的CT/MRI孔径内实时图像引导微创穿刺手术机器人平台、基于新型智能材料的磁畴可编程与磁控增强4D打印技术及装备、新一代颠覆性活性细胞平台型成像系统及OCT技术产业化创新、全球化AI地图等四个项目成功晋级总决赛。这些项目将与香港选拔赛的晋级项目一同参加年底的总决赛，展示京港两地的科技创新成果与实力。</w:t>
      </w:r>
    </w:p>
    <w:p w14:paraId="75DDB0CB">
      <w:pPr>
        <w:keepNext w:val="0"/>
        <w:keepLines w:val="0"/>
        <w:widowControl/>
        <w:suppressLineNumbers w:val="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bidi="ar"/>
        </w:rPr>
        <w:drawing>
          <wp:inline distT="0" distB="0" distL="114300" distR="114300">
            <wp:extent cx="5266690" cy="3511550"/>
            <wp:effectExtent l="0" t="0" r="3810" b="6350"/>
            <wp:docPr id="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IMG_269"/>
                    <pic:cNvPicPr>
                      <a:picLocks noChangeAspect="1"/>
                    </pic:cNvPicPr>
                  </pic:nvPicPr>
                  <pic:blipFill>
                    <a:blip r:embed="rId17"/>
                    <a:stretch>
                      <a:fillRect/>
                    </a:stretch>
                  </pic:blipFill>
                  <pic:spPr>
                    <a:xfrm>
                      <a:off x="0" y="0"/>
                      <a:ext cx="5266690" cy="3511550"/>
                    </a:xfrm>
                    <a:prstGeom prst="rect">
                      <a:avLst/>
                    </a:prstGeom>
                    <a:noFill/>
                    <a:ln w="9525">
                      <a:noFill/>
                    </a:ln>
                  </pic:spPr>
                </pic:pic>
              </a:graphicData>
            </a:graphic>
          </wp:inline>
        </w:drawing>
      </w:r>
    </w:p>
    <w:p w14:paraId="1A1CFA27">
      <w:pPr>
        <w:pStyle w:val="2"/>
        <w:keepNext w:val="0"/>
        <w:keepLines w:val="0"/>
        <w:widowControl/>
        <w:suppressLineNumbers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展望未来，京港澳三地将在人工智能领域持续深化技术研发、成果转化、市场拓展及青年创业等多方面合作，携手提升我国在全球人工智能发展中的整体竞争力与影响力。 </w:t>
      </w:r>
    </w:p>
    <w:p w14:paraId="374E35C5">
      <w:pPr>
        <w:rPr>
          <w:rFonts w:hint="eastAsia" w:ascii="仿宋_GB2312" w:hAnsi="仿宋_GB2312" w:eastAsia="仿宋_GB2312" w:cs="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书宋-简"/>
    <w:panose1 w:val="00000000000000000000"/>
    <w:charset w:val="86"/>
    <w:family w:val="auto"/>
    <w:pitch w:val="default"/>
    <w:sig w:usb0="00000000" w:usb1="00000000" w:usb2="00000000" w:usb3="00000000" w:csb0="00000000" w:csb1="00000000"/>
  </w:font>
  <w:font w:name="Wingdings">
    <w:altName w:val="FTToken"/>
    <w:panose1 w:val="05000000000000000000"/>
    <w:charset w:val="02"/>
    <w:family w:val="auto"/>
    <w:pitch w:val="default"/>
    <w:sig w:usb0="00000000" w:usb1="00000000" w:usb2="00000000" w:usb3="00000000" w:csb0="80000000" w:csb1="00000000"/>
  </w:font>
  <w:font w:name="Arial">
    <w:altName w:val="FT Thymes"/>
    <w:panose1 w:val="020B0604020202020204"/>
    <w:charset w:val="01"/>
    <w:family w:val="swiss"/>
    <w:pitch w:val="default"/>
    <w:sig w:usb0="E0002AFF" w:usb1="C0007843" w:usb2="00000009" w:usb3="00000000" w:csb0="400001FF" w:csb1="FFFF0000"/>
  </w:font>
  <w:font w:name="黑体">
    <w:altName w:val="黑体-简"/>
    <w:panose1 w:val="02010609060101010101"/>
    <w:charset w:val="86"/>
    <w:family w:val="auto"/>
    <w:pitch w:val="default"/>
    <w:sig w:usb0="800002BF" w:usb1="38CF7CFA" w:usb2="00000016" w:usb3="00000000" w:csb0="00040001" w:csb1="00000000"/>
  </w:font>
  <w:font w:name="Courier New">
    <w:altName w:val="HarmonyOS Sans"/>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FT Thymes">
    <w:panose1 w:val="02020603050405020304"/>
    <w:charset w:val="00"/>
    <w:family w:val="auto"/>
    <w:pitch w:val="default"/>
    <w:sig w:usb0="E0002EFF" w:usb1="C000785B" w:usb2="00000009" w:usb3="00000000" w:csb0="00000001" w:csb1="00000000"/>
  </w:font>
  <w:font w:name="Calibri">
    <w:altName w:val="FT Thymes"/>
    <w:panose1 w:val="020F0502020204030204"/>
    <w:charset w:val="00"/>
    <w:family w:val="swiss"/>
    <w:pitch w:val="default"/>
    <w:sig w:usb0="00000000" w:usb1="00000000" w:usb2="00000001" w:usb3="00000000" w:csb0="0000019F" w:csb1="00000000"/>
  </w:font>
  <w:font w:name="书宋-简">
    <w:panose1 w:val="02010600030101010101"/>
    <w:charset w:val="86"/>
    <w:family w:val="auto"/>
    <w:pitch w:val="default"/>
    <w:sig w:usb0="A00002BF" w:usb1="3ACF7CFA" w:usb2="00000016" w:usb3="00000000" w:csb0="00040001" w:csb1="00000000"/>
  </w:font>
  <w:font w:name="SimSun">
    <w:altName w:val="书宋-简"/>
    <w:panose1 w:val="00000000000000000000"/>
    <w:charset w:val="00"/>
    <w:family w:val="auto"/>
    <w:pitch w:val="default"/>
    <w:sig w:usb0="00000000" w:usb1="00000000" w:usb2="00000000" w:usb3="00000000" w:csb0="00000000" w:csb1="00000000"/>
  </w:font>
  <w:font w:name="汉仪书宋二KW">
    <w:altName w:val="书宋-简"/>
    <w:panose1 w:val="00020600040101010101"/>
    <w:charset w:val="86"/>
    <w:family w:val="auto"/>
    <w:pitch w:val="default"/>
    <w:sig w:usb0="00000000" w:usb1="00000000" w:usb2="00000016" w:usb3="00000000" w:csb0="00040000" w:csb1="00000000"/>
  </w:font>
  <w:font w:name="Helvetica Neue">
    <w:altName w:val="DejaVu Math TeX Gyre"/>
    <w:panose1 w:val="02000503000000020004"/>
    <w:charset w:val="00"/>
    <w:family w:val="auto"/>
    <w:pitch w:val="default"/>
    <w:sig w:usb0="00000000" w:usb1="00000000" w:usb2="00000010" w:usb3="00000000" w:csb0="00000000" w:csb1="00000000"/>
  </w:font>
  <w:font w:name="DejaVu Math TeX Gyre">
    <w:panose1 w:val="02000503000000000000"/>
    <w:charset w:val="00"/>
    <w:family w:val="auto"/>
    <w:pitch w:val="default"/>
    <w:sig w:usb0="A10000EF" w:usb1="4A00F9EE" w:usb2="02000008" w:usb3="00000000" w:csb0="60000193" w:csb1="0DD40000"/>
  </w:font>
  <w:font w:name="方正小标宋简体">
    <w:altName w:val="书宋-简"/>
    <w:panose1 w:val="02010601030101010101"/>
    <w:charset w:val="86"/>
    <w:family w:val="auto"/>
    <w:pitch w:val="default"/>
    <w:sig w:usb0="00000000" w:usb1="00000000" w:usb2="00000000" w:usb3="00000000" w:csb0="00040000" w:csb1="00000000"/>
  </w:font>
  <w:font w:name="仿宋_GB2312">
    <w:altName w:val="仿宋-简"/>
    <w:panose1 w:val="02010609030101010101"/>
    <w:charset w:val="86"/>
    <w:family w:val="auto"/>
    <w:pitch w:val="default"/>
    <w:sig w:usb0="00000000" w:usb1="00000000" w:usb2="00000000" w:usb3="00000000" w:csb0="00040000" w:csb1="00000000"/>
  </w:font>
  <w:font w:name="仿宋-简">
    <w:panose1 w:val="02010609060101010101"/>
    <w:charset w:val="86"/>
    <w:family w:val="auto"/>
    <w:pitch w:val="default"/>
    <w:sig w:usb0="A00002BF" w:usb1="3ACF7CFA" w:usb2="00000016" w:usb3="00000000" w:csb0="00040001" w:csb1="00000000"/>
  </w:font>
  <w:font w:name="方正仿宋_GBK">
    <w:altName w:val="仿宋-简"/>
    <w:panose1 w:val="02000000000000000000"/>
    <w:charset w:val="86"/>
    <w:family w:val="auto"/>
    <w:pitch w:val="default"/>
    <w:sig w:usb0="00000000" w:usb1="00000000" w:usb2="00082016" w:usb3="00000000" w:csb0="00040001" w:csb1="00000000"/>
  </w:font>
  <w:font w:name="Arial">
    <w:altName w:val="FT Thymes"/>
    <w:panose1 w:val="00000000000000000000"/>
    <w:charset w:val="00"/>
    <w:family w:val="auto"/>
    <w:pitch w:val="default"/>
    <w:sig w:usb0="00000000" w:usb1="00000000" w:usb2="00000000" w:usb3="00000000" w:csb0="00000000" w:csb1="00000000"/>
  </w:font>
  <w:font w:name="鸿蒙黑体">
    <w:panose1 w:val="00000500000000000000"/>
    <w:charset w:val="86"/>
    <w:family w:val="auto"/>
    <w:pitch w:val="default"/>
    <w:sig w:usb0="A00002BF" w:usb1="18E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RiMDI3YTRjZDJhMGVlY2E5NmQ0NGFjYTgzMjA2MWEifQ=="/>
  </w:docVars>
  <w:rsids>
    <w:rsidRoot w:val="26594FC2"/>
    <w:rsid w:val="26594FC2"/>
    <w:rsid w:val="55E99C0A"/>
    <w:rsid w:val="C779152F"/>
    <w:rsid w:val="FE7D93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9</TotalTime>
  <ScaleCrop>false</ScaleCrop>
  <LinksUpToDate>false</LinksUpToDate>
  <CharactersWithSpaces>0</CharactersWithSpaces>
  <Application>WPS Office_12.1.3.25234_F1E327BC-269C-435d-A152-05C5408002CA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2026-03-28T10:05:00Z</dcterms:created>
  <dc:creator>gbzzo</dc:creator>
  <cp:lastModifiedBy>平东采编</cp:lastModifiedBy>
  <dcterms:modified xsi:type="dcterms:W3CDTF">2026-03-28T13:10:48Z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2052-12.1.3.25234</vt:lpwstr>
  </property>
  <property fmtid="{D5CDD505-2E9C-101B-9397-08002B2CF9AE}" pid="3" name="ICV">
    <vt:lpwstr>A1E3CDAF4D6EE954F9A4C66945ACF7D9_43</vt:lpwstr>
  </property>
  <property fmtid="{D5CDD505-2E9C-101B-9397-08002B2CF9AE}" pid="4" name="KSOTemplateDocerSaveRecord">
    <vt:lpwstr>eyJoZGlkIjoiZjFmMjBlMzg0M2M1ZWI2ZjIxMzA0NmQyNjc1ZjFiMGMiLCJ1c2VySWQiOiIyNjQ1NjgxMzYifQ==</vt:lpwstr>
  </property>
</Properties>
</file>