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14:paraId="2E483B2A">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3"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bCs w:val="false"/>
          <w:color w:val="000000"/>
          <w:kern w:val="44"/>
          <w:sz w:val="36"/>
          <w:szCs w:val="36"/>
          <w:lang w:val="en-US" w:bidi="ar-SA" w:eastAsia="zh-CN"/>
        </w:rPr>
        <w:t>问题1：</w:t>
      </w:r>
      <w:r>
        <w:rPr>
          <w:rFonts w:ascii="仿宋_GB2312" w:cs="楷体_GB2312" w:eastAsia="仿宋_GB2312" w:hAnsi="仿宋" w:hint="eastAsia"/>
          <w:b w:val="false"/>
          <w:bCs/>
          <w:color w:val="000000"/>
          <w:kern w:val="44"/>
          <w:sz w:val="36"/>
          <w:szCs w:val="36"/>
          <w:lang w:val="en-US" w:bidi="ar-SA" w:eastAsia="zh-CN"/>
        </w:rPr>
        <w:t>今年的中关村论坛年会有个十分特别的机器人餐吧，全程都是自主操作，其中有哪些技术亮点，像这种自动化的具身智能在服务业的应用以后会给我们的生活带来哪些改变？（乐聚 王强）</w:t>
      </w:r>
    </w:p>
    <w:p w14:paraId="643D0009">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我们还特别注意到现场有能自主推理做糖葫芦的机器人，背后代表具身智能走到了哪一步？（万境千寻 孙荣毅）</w:t>
      </w:r>
    </w:p>
    <w:p w14:paraId="48DC84CE">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3"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bCs w:val="false"/>
          <w:color w:val="000000"/>
          <w:kern w:val="44"/>
          <w:sz w:val="36"/>
          <w:szCs w:val="36"/>
          <w:lang w:val="en-US" w:bidi="ar-SA" w:eastAsia="zh-CN"/>
        </w:rPr>
        <w:t>回答：</w:t>
      </w:r>
      <w:r>
        <w:rPr>
          <w:rFonts w:ascii="仿宋_GB2312" w:cs="楷体_GB2312" w:eastAsia="仿宋_GB2312" w:hAnsi="仿宋" w:hint="eastAsia"/>
          <w:b/>
          <w:bCs w:val="false"/>
          <w:color w:val="000000"/>
          <w:kern w:val="44"/>
          <w:sz w:val="36"/>
          <w:szCs w:val="36"/>
          <w:lang w:val="en-US" w:bidi="ar-SA" w:eastAsia="zh-CN"/>
        </w:rPr>
        <w:t>（乐聚 王强）</w:t>
      </w:r>
      <w:r>
        <w:rPr>
          <w:rFonts w:ascii="仿宋_GB2312" w:cs="楷体_GB2312" w:eastAsia="仿宋_GB2312" w:hAnsi="仿宋" w:hint="eastAsia"/>
          <w:b w:val="false"/>
          <w:bCs/>
          <w:color w:val="000000"/>
          <w:kern w:val="44"/>
          <w:sz w:val="36"/>
          <w:szCs w:val="36"/>
          <w:lang w:val="en-US" w:bidi="ar-SA" w:eastAsia="zh-CN"/>
        </w:rPr>
        <w:t>感谢您的提问。今年中关村论坛年会上的“机器人餐吧”确实是一个极具标志性的应用示范。这不仅是一个展示窗口，更是行业内首次实现“异构多机协同”的闭环餐饮服务真实场景。</w:t>
      </w:r>
    </w:p>
    <w:p w14:paraId="5941562A">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关于其中的技术亮点，我想先从整体项目的共建突破来做一个总述，然后再具体谈谈我们乐聚机器人在其中发挥的核心作用。</w:t>
      </w:r>
    </w:p>
    <w:p w14:paraId="79FEB531">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首先，在整体技术突破上，项目最大的亮点是首次落地了“一个大脑、一个平台、一个场景、N个本体”的创新模式。</w:t>
      </w:r>
    </w:p>
    <w:p w14:paraId="5904825F">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主要是打破了硬件壁垒：依托统一的机器人大脑和任务调度协作平台，我们成功让多家顶尖厂商、不同形态的机器人实现了跨本体的高效协作，并且能够实时共享任务及空间状态。</w:t>
      </w:r>
    </w:p>
    <w:p w14:paraId="0C1A0AE2">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其次，在这个复杂的协同网络中，我们乐聚机器人主要承担了最核心的“移动执行”与“前端交互”工作，从而形成了服务场景的闭环，这里面有两个关键的技术亮点：</w:t>
      </w:r>
    </w:p>
    <w:p w14:paraId="4805BD1D">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第一，是乐聚轮臂送餐机器人5-W的高精度导航能力。面对餐吧内狭窄的过道和多个出餐点位，我们的送餐机器人凭借高精度的3D视觉自主导航技术以及拟人化操作技能模型，能够丝滑地实现全向转弯与精准移动并稳定抓取餐品，确保了服务动线的高效运转。同时，面向工业场景的机器人本体设计，它的长续航能力及高可靠性保证了餐吧高订单量情况下的持续稳定运行。</w:t>
      </w:r>
    </w:p>
    <w:p w14:paraId="0F866D02">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第二，是乐聚迎宾系统极速的自然交互能力。我们的迎宾机器人深度融合了端侧的多模态大模型。这意味着它不需要把数据传到云端去处理，在本地就能实现低延迟的拟人化自然交互。这不仅让参会嘉宾感觉沟通更顺畅、更像真人，同时也从根本上保障了现场的数据和隐私安全。</w:t>
      </w:r>
    </w:p>
    <w:p w14:paraId="28F0676A">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最后，关于这种自动化的具身智能未来会给生活带来哪些改变？</w:t>
      </w:r>
    </w:p>
    <w:p w14:paraId="6294EA61">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这次在服务业的成功验证，预示着“通用大脑结合跨本体软硬件平台”的技术体系已经具备了规模化下沉和普及的条件。未来它将深刻改变我们的生活：</w:t>
      </w:r>
    </w:p>
    <w:p w14:paraId="34D1B4BB">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在商业与生活服务方面：我们很快会看到无人智慧门店、商业楼宇的导览与配送机器人大规模普及。</w:t>
      </w:r>
    </w:p>
    <w:p w14:paraId="09590746">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在产业端： 这类技术将广泛赋能工业制造、仓储物流甚至科研医疗领域，替代人类去完成那些高强度或高精度的复杂自动化作业。</w:t>
      </w:r>
    </w:p>
    <w:p w14:paraId="66BE4E88">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最终的愿景则是这些聪明的通用机器人一定会走进千家万户，成为我们的“家庭管家”，为大众提供全方位的日常照料与服务。</w:t>
      </w:r>
    </w:p>
    <w:p w14:paraId="40D26134">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这就是我们通过这次中关村论坛“机器人餐吧”所预见到的未来。谢谢！</w:t>
      </w:r>
    </w:p>
    <w:p w14:paraId="2FA71193">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3"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bCs w:val="false"/>
          <w:color w:val="000000"/>
          <w:kern w:val="44"/>
          <w:sz w:val="36"/>
          <w:szCs w:val="36"/>
          <w:lang w:val="en-US" w:bidi="ar-SA" w:eastAsia="zh-CN"/>
        </w:rPr>
        <w:t>（万境千寻 孙荣毅）</w:t>
      </w:r>
      <w:r>
        <w:rPr>
          <w:rFonts w:ascii="仿宋_GB2312" w:cs="楷体_GB2312" w:eastAsia="仿宋_GB2312" w:hAnsi="仿宋" w:hint="eastAsia"/>
          <w:b w:val="false"/>
          <w:bCs/>
          <w:color w:val="000000"/>
          <w:kern w:val="44"/>
          <w:sz w:val="36"/>
          <w:szCs w:val="36"/>
          <w:lang w:val="en-US" w:bidi="ar-SA" w:eastAsia="zh-CN"/>
        </w:rPr>
        <w:t>串糖葫芦的机器人的问题我来回答一下，首先向大家介绍一下串糖葫芦这个任务涉及到</w:t>
      </w:r>
    </w:p>
    <w:p w14:paraId="495C7D69">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1）第一，从“标准件”到“非标准柔性物体”的视觉与动作泛化。山楂这样的水果并非实验室的刚性物体，“非标准、易变形”物体，它的大小、形状、表皮光滑度每一次都是不同的，串糖葫芦的过程也需要精细的视觉识别和力控能力。</w:t>
      </w:r>
    </w:p>
    <w:p w14:paraId="28CC5BF2">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2）第二，从“单一任务”向“底层物理规律”的技能迁移。我们千寻训练VLA模型，并不是为了单纯教会机器人“串糖葫芦”，而是为了让模型掌握背后的通用物理交互逻辑。机器人在串糖葫芦过程中学到的“基于视觉反馈的动态微调”、“双臂协同”以及“穿刺阻力感知”，本质上是一种高级的精细操作技能。</w:t>
      </w:r>
    </w:p>
    <w:p w14:paraId="0E431953">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（3）第三，从“静态实验室”到“动态强干扰真实世界”的鲁棒性打磨。 餐吧是一个非常典型的非结构化环境——光线是多变的、背景里有人员走动、且随时可能有突发状况。让VLA模型在这种充满动态干扰的真实服务场景中稳定输出，是我们实现规模化商业落地的必经之路。</w:t>
      </w:r>
    </w:p>
    <w:p w14:paraId="1361F897">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2.通过前面的介绍，如果用人类的智商和操作能力来对比，机器人通过模型自主推理完成串糖葫芦任务，基本上相当于五到六岁小朋友的水平。之所以是说小朋友，我们也可以看到模型作业过程中也会偶尔出现失误的情况，但是机器人情绪稳定、不内耗，会很有耐心的处理完成这个任务。在2026年我们将会采集100万小时的真实数据，预计到年底，小墨机器人将会由小朋友成长为一个少年，在2027年的中关村论坛年会上给大家提供更好的服务。</w:t>
      </w:r>
    </w:p>
    <w:p w14:paraId="2A5827A8">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p>
    <w:p w14:paraId="623B57C0">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3"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bCs w:val="false"/>
          <w:color w:val="000000"/>
          <w:kern w:val="44"/>
          <w:sz w:val="36"/>
          <w:szCs w:val="36"/>
          <w:lang w:val="en-US" w:bidi="ar-SA" w:eastAsia="zh-CN"/>
        </w:rPr>
        <w:t>问题2：</w:t>
      </w:r>
      <w:r>
        <w:rPr>
          <w:rFonts w:ascii="仿宋_GB2312" w:cs="楷体_GB2312" w:eastAsia="仿宋_GB2312" w:hAnsi="仿宋" w:hint="eastAsia"/>
          <w:b w:val="false"/>
          <w:bCs/>
          <w:color w:val="000000"/>
          <w:kern w:val="44"/>
          <w:sz w:val="36"/>
          <w:szCs w:val="36"/>
          <w:lang w:val="en-US" w:bidi="ar-SA" w:eastAsia="zh-CN"/>
        </w:rPr>
        <w:t>灵巧手弹奏乐器看似炫技，如何跨越从“舞台表演”到“工厂干活”的鸿沟？演奏数据能否快速转化为工业操作技能，实现低成本泛化落地？（灵心巧手 曹岗）</w:t>
      </w:r>
    </w:p>
    <w:p w14:paraId="578DDC0F">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3"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bCs w:val="false"/>
          <w:color w:val="000000"/>
          <w:kern w:val="44"/>
          <w:sz w:val="36"/>
          <w:szCs w:val="36"/>
          <w:lang w:val="en-US" w:bidi="ar-SA" w:eastAsia="zh-CN"/>
        </w:rPr>
        <w:t>回答：</w:t>
      </w:r>
      <w:r>
        <w:rPr>
          <w:rFonts w:ascii="仿宋_GB2312" w:cs="楷体_GB2312" w:eastAsia="仿宋_GB2312" w:hAnsi="仿宋" w:hint="eastAsia"/>
          <w:b w:val="false"/>
          <w:bCs/>
          <w:color w:val="000000"/>
          <w:kern w:val="44"/>
          <w:sz w:val="36"/>
          <w:szCs w:val="36"/>
          <w:lang w:val="en-US" w:bidi="ar-SA" w:eastAsia="zh-CN"/>
        </w:rPr>
        <w:t>感谢您的提问。这个问题的答案，藏在我们公司名字的每一个字里——灵心巧手，创造万物。</w:t>
      </w:r>
    </w:p>
    <w:p w14:paraId="1FDEF4BC">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首先，从“巧手”维度看，它是人类文明的通用映射。</w:t>
      </w:r>
    </w:p>
    <w:p w14:paraId="42A8E76A">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手，是人类文明的起点，也是文明的映射。我们在舞台上展示的弹奏乐器，无论是钢琴、唢呐还是葫芦丝，本质上复现的是“能工巧匠”的指尖技艺；而我们在工业场景应用的精密装配，对应的是“大国巨匠”的生产力。</w:t>
      </w:r>
    </w:p>
    <w:p w14:paraId="78025401">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关键在于，我们的灵巧手从设计之初就是通用的末端执行器。它不只是模仿“弹琴”这一个动作，而是模仿人类手部的全谱系能力。正如手在人类历史中既能雕刻玉器也能铸造火箭，我们的“巧手”作为联通数字世界与物理世界的桥梁，天生具备承载多元文明的属性。舞台上的琴键和工厂里的零件，对它而言，只是不同的交互对象。</w:t>
      </w:r>
    </w:p>
    <w:p w14:paraId="6B1D0207">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其次，从“灵心”维度看，技能通用，方能创造万物。</w:t>
      </w:r>
    </w:p>
    <w:p w14:paraId="7E935545">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“灵心乐府”调用的是一类“精细操作”的通用原子技能。这种对力度、轨迹、协同的控制逻辑，与工业场景的插拔、拧转在算法层面是同构的。</w:t>
      </w:r>
    </w:p>
    <w:p w14:paraId="2DA8FCFD">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这正是我们要造100万双手，沉淀100万种技能的原因。当我们的灵巧手通过极致性价比实现大规模部署，就能通过“机器人制造机器人”——用灵巧手造灵巧手。这种新质生产力的闭环，让“灵心”大脑在海量真机数据中飞速进化。</w:t>
      </w:r>
    </w:p>
    <w:p w14:paraId="7B49969B">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所以，表演与干活之间本无鸿沟。只要“手”是人类文明的通用映射，只要“心”具备通用的智能，我们就能从弹奏乐章跨越到精密制造，真正用一双通用的手，创造万物。</w:t>
      </w:r>
    </w:p>
    <w:p w14:paraId="3B6B201B">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textAlignment w:val="auto"/>
        <w:rPr>
          <w:rFonts w:ascii="仿宋_GB2312" w:cs="楷体_GB2312" w:eastAsia="仿宋_GB2312" w:hAnsi="仿宋" w:hint="default"/>
          <w:b w:val="false"/>
          <w:bCs/>
          <w:color w:val="ff0000"/>
          <w:kern w:val="44"/>
          <w:sz w:val="36"/>
          <w:szCs w:val="36"/>
          <w:lang w:val="en-US" w:bidi="ar-SA" w:eastAsia="zh-CN"/>
        </w:rPr>
      </w:pPr>
    </w:p>
    <w:p w14:paraId="5278DA94">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textAlignment w:val="auto"/>
        <w:rPr>
          <w:rFonts w:ascii="仿宋_GB2312" w:cs="楷体_GB2312" w:eastAsia="仿宋_GB2312" w:hAnsi="仿宋" w:hint="eastAsia"/>
          <w:b w:val="false"/>
          <w:bCs/>
          <w:color w:val="000000"/>
          <w:kern w:val="44"/>
          <w:sz w:val="36"/>
          <w:szCs w:val="36"/>
          <w:lang w:val="en-US" w:bidi="ar-SA" w:eastAsia="zh-CN"/>
        </w:rPr>
      </w:pPr>
    </w:p>
    <w:p w14:paraId="20F5E33E">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3"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bCs w:val="false"/>
          <w:color w:val="000000"/>
          <w:kern w:val="44"/>
          <w:sz w:val="36"/>
          <w:szCs w:val="36"/>
          <w:lang w:val="en-US" w:bidi="ar-SA" w:eastAsia="zh-CN"/>
        </w:rPr>
        <w:t>问题3：</w:t>
      </w:r>
      <w:r>
        <w:rPr>
          <w:rFonts w:ascii="仿宋_GB2312" w:cs="楷体_GB2312" w:eastAsia="仿宋_GB2312" w:hAnsi="仿宋" w:hint="eastAsia"/>
          <w:b w:val="false"/>
          <w:bCs/>
          <w:color w:val="000000"/>
          <w:kern w:val="44"/>
          <w:sz w:val="36"/>
          <w:szCs w:val="36"/>
          <w:lang w:val="en-US" w:bidi="ar-SA" w:eastAsia="zh-CN"/>
        </w:rPr>
        <w:t>在本次中关村论坛科技办会场景中，智谱为国创中心相关论坛提供了AI同传系统保障。请问，相较于传统同传方案，这套系统在技术突破和实际应用层面，最大的亮点体现在哪里？（智谱兴曜 杜堂文）</w:t>
      </w:r>
    </w:p>
    <w:p w14:paraId="2682373B">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3"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bCs w:val="false"/>
          <w:color w:val="000000"/>
          <w:kern w:val="44"/>
          <w:sz w:val="36"/>
          <w:szCs w:val="36"/>
          <w:lang w:val="en-US" w:bidi="ar-SA" w:eastAsia="zh-CN"/>
        </w:rPr>
        <w:t>回答：</w:t>
      </w:r>
      <w:r>
        <w:rPr>
          <w:rFonts w:ascii="仿宋_GB2312" w:cs="楷体_GB2312" w:eastAsia="仿宋_GB2312" w:hAnsi="仿宋" w:hint="eastAsia"/>
          <w:b w:val="false"/>
          <w:bCs/>
          <w:color w:val="000000"/>
          <w:kern w:val="44"/>
          <w:sz w:val="36"/>
          <w:szCs w:val="36"/>
          <w:lang w:val="en-US" w:bidi="ar-SA" w:eastAsia="zh-CN"/>
        </w:rPr>
        <w:t>感谢这个问题。此次中关村论坛年会以“科技创新与产业创新深度融合”为主题，对会议服务的专业化、智能化和国际化提出了更高要求。智谱此次提供的AI同传系统保障，核心亮点可以概括为三个方面：</w:t>
      </w:r>
    </w:p>
    <w:p w14:paraId="5BB200AB">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第一，实现了多模态、一体化的同传服务能力。</w:t>
      </w:r>
      <w:r>
        <w:rPr>
          <w:rFonts w:ascii="仿宋_GB2312" w:cs="楷体_GB2312" w:eastAsia="仿宋_GB2312" w:hAnsi="仿宋" w:hint="eastAsia"/>
          <w:b w:val="false"/>
          <w:bCs/>
          <w:color w:val="000000"/>
          <w:kern w:val="44"/>
          <w:sz w:val="36"/>
          <w:szCs w:val="36"/>
          <w:lang w:val="en-US" w:bidi="ar-SA" w:eastAsia="zh-CN"/>
        </w:rPr>
        <w:br/>
      </w:r>
      <w:r>
        <w:rPr>
          <w:rFonts w:ascii="仿宋_GB2312" w:cs="楷体_GB2312" w:eastAsia="仿宋_GB2312" w:hAnsi="仿宋" w:hint="eastAsia"/>
          <w:b w:val="false"/>
          <w:bCs/>
          <w:color w:val="000000"/>
          <w:kern w:val="44"/>
          <w:sz w:val="36"/>
          <w:szCs w:val="36"/>
          <w:lang w:val="en-US" w:bidi="ar-SA" w:eastAsia="zh-CN"/>
        </w:rPr>
        <w:t>这次我们不仅提供了传统意义上的语音翻译能力，还同步整合了同传眼镜、多语种AI翻译字幕和AI翻译音频等多种交付形态，形成了“听、看、用”一体化的现场体验。参会嘉宾可以根据自己的使用习惯，自主选择字幕、音频或穿戴式终端，这种服务模式更贴近真实会议场景，也提升了国际交流的便利性和包容性。</w:t>
      </w:r>
    </w:p>
    <w:p w14:paraId="0AD2174C">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第二，在专业论坛场景下强化了准确性、实时性与稳定性。科技论坛的内容通常具有专业术语密集、表达节奏快、跨学科交叉明显等特点，这对翻译系统提出了非常高的要求。我们的系统重点围绕专业术语识别、长句理解、上下文语义衔接以及现场低延迟处理等方面进行了优化，力求在复杂演讲环境中保持较高的翻译质量与响应效率。这也是AI能力从通用场景走向高标准会议场景的重要一步。</w:t>
      </w:r>
    </w:p>
    <w:p w14:paraId="2C3F57E8">
      <w:pPr>
        <w:pStyle w:val="style0"/>
        <w:keepNext w:val="false"/>
        <w:keepLines w:val="false"/>
        <w:pageBreakBefore w:val="false"/>
        <w:widowControl w:val="false"/>
        <w:numPr>
          <w:ilvl w:val="0"/>
          <w:numId w:val="1"/>
        </w:numPr>
        <w:kinsoku/>
        <w:wordWrap/>
        <w:overflowPunct/>
        <w:topLinePunct w:val="false"/>
        <w:autoSpaceDE/>
        <w:autoSpaceDN/>
        <w:bidi w:val="false"/>
        <w:adjustRightInd/>
        <w:snapToGrid/>
        <w:spacing w:lineRule="exact" w:line="560"/>
        <w:ind w:leftChars="0"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体现了AI技术从能力展示走向实际落地的产业价值。论坛保障不是单纯的技术演示，而是对系统工程能力、现场交付能力和应急保障能力的综合考验。能够在这样高规格、国际化的论坛中提供稳定服务，本身就说明AI翻译已经从“可用”逐步走向“好用”和“敢用”。这不仅是技术突破的体现，也说明人工智能正在更深入地服务真实产业场景和公共交流场景。</w:t>
      </w:r>
    </w:p>
    <w:p w14:paraId="05D70823">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总体来看，这次项目的意义不仅在于完成了一次论坛保障任务，更在于验证了AI在高端会议服务中的应用深度，为未来在国际会议、展会、产业论坛等更多场景推广智能化语言服务提供了实践基础。</w:t>
      </w:r>
    </w:p>
    <w:p w14:paraId="2D991530">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p>
    <w:p w14:paraId="5CBE7A84">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firstLine="723" w:firstLineChars="200"/>
        <w:textAlignment w:val="auto"/>
        <w:rPr>
          <w:rFonts w:ascii="仿宋_GB2312" w:cs="楷体_GB2312" w:eastAsia="仿宋_GB2312" w:hAnsi="仿宋" w:hint="default"/>
          <w:b w:val="false"/>
          <w:bCs/>
          <w:color w:val="000000"/>
          <w:kern w:val="44"/>
          <w:sz w:val="36"/>
          <w:szCs w:val="36"/>
          <w:lang w:val="en-US" w:bidi="ar-SA" w:eastAsia="zh-CN"/>
        </w:rPr>
      </w:pPr>
      <w:r>
        <w:rPr>
          <w:rFonts w:ascii="仿宋_GB2312" w:cs="楷体_GB2312" w:eastAsia="仿宋_GB2312" w:hAnsi="仿宋" w:hint="eastAsia"/>
          <w:b/>
          <w:bCs w:val="false"/>
          <w:color w:val="000000"/>
          <w:kern w:val="44"/>
          <w:sz w:val="36"/>
          <w:szCs w:val="36"/>
          <w:lang w:val="en-US" w:bidi="ar-SA" w:eastAsia="zh-CN"/>
        </w:rPr>
        <w:t>问题4：</w:t>
      </w:r>
      <w:r>
        <w:rPr>
          <w:rFonts w:ascii="仿宋_GB2312" w:cs="楷体_GB2312" w:eastAsia="仿宋_GB2312" w:hAnsi="仿宋" w:hint="eastAsia"/>
          <w:b w:val="false"/>
          <w:bCs/>
          <w:color w:val="000000"/>
          <w:kern w:val="44"/>
          <w:sz w:val="36"/>
          <w:szCs w:val="36"/>
          <w:lang w:val="en-US" w:bidi="ar-SA" w:eastAsia="zh-CN"/>
        </w:rPr>
        <w:t>相比于传统的人工拍摄手段，科旭威尔智能拍摄技术的差异化定位在哪里？（科旭威尔 谢先运）</w:t>
      </w:r>
    </w:p>
    <w:p w14:paraId="31490260">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3"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bCs w:val="false"/>
          <w:color w:val="000000"/>
          <w:kern w:val="44"/>
          <w:sz w:val="36"/>
          <w:szCs w:val="36"/>
          <w:lang w:val="en-US" w:bidi="ar-SA" w:eastAsia="zh-CN"/>
        </w:rPr>
        <w:t>回答：</w:t>
      </w:r>
      <w:r>
        <w:rPr>
          <w:rFonts w:ascii="仿宋_GB2312" w:cs="楷体_GB2312" w:eastAsia="仿宋_GB2312" w:hAnsi="仿宋" w:hint="eastAsia"/>
          <w:b w:val="false"/>
          <w:bCs/>
          <w:color w:val="000000"/>
          <w:kern w:val="44"/>
          <w:sz w:val="36"/>
          <w:szCs w:val="36"/>
          <w:lang w:val="en-US" w:bidi="ar-SA" w:eastAsia="zh-CN"/>
        </w:rPr>
        <w:t>感谢您的提问。关于智能拍摄与人工拍摄的区别，这确实是当前视频产业变革的核心议题。我们可以从技术实现、应用场景以及未来趋势三个维度来深入探讨。</w:t>
      </w:r>
    </w:p>
    <w:p w14:paraId="7AFBEC69">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从技术实现来看，两者的核心差异在于“生产方式”的重构</w:t>
      </w:r>
    </w:p>
    <w:p w14:paraId="4DF176B4">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传统的视频产业流程主要包含采集、传输和显示。在采集环节，如果是单机位拍摄，手机或大疆类设备已能满足日常需求。但对于关键事件和高光时刻的记录，多机位拍摄是不可或缺的。</w:t>
      </w:r>
    </w:p>
    <w:p w14:paraId="158DD52D">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传统的人工多机位拍摄，高度依赖人力协作：需要摄像师进行物理追踪，需要视频工程师确保色彩和亮度的一致性，还需要导播根据现场变化及时切换画面，以及后期人员进行精彩内容的提取。这不仅成本高昂，而且对人员技能要求极高。</w:t>
      </w:r>
    </w:p>
    <w:p w14:paraId="36E90695">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而智能拍摄则是以无人化技术为核心，融合了人工智能、5G、大数据等前沿科技。它实现了采集、导播、剪辑的全流程智能化。通过搭载高级传感器和AI算法的智能摄像机，系统能自动进行精准对焦、曝光控制和色彩校正。更重要的是，它能通过AI算法还可以模仿专业摄像师的“推、拉、摇、移”等手法，自动识别并追踪拍摄对象，实现多机位间的无缝衔接和流畅叙事。这意味着，非专业人士在低成本、低技能门槛的条件下，也能轻松制作出专业水准的视频内容。</w:t>
      </w:r>
    </w:p>
    <w:p w14:paraId="4E518EBF">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从应用场景来看，智能拍摄拓展了视频创作的边界，相对于人工拍摄，多机位智能拍摄在一些人难以企及或无法做到的场合具有明显优势。极端或高危环境：如各大卫星发射基地的任务指挥系统，智能拍摄能确保在严苛环境下进行稳定、安全的记录。</w:t>
      </w:r>
    </w:p>
    <w:p w14:paraId="48D2F7C4">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高安全保密要求：对于安全保密要求很高的会议，智能拍摄可以减少现场人员流动，保障信息安全。</w:t>
      </w:r>
    </w:p>
    <w:p w14:paraId="0C14E1A9">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连续性记录：在综艺真人秀片场，智能拍摄能实现7x24小时的连续不间断记录，捕捉每一个稍纵即逝的瞬间。</w:t>
      </w:r>
    </w:p>
    <w:p w14:paraId="5C353742">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同时，智能拍摄的普及化，正让更多行业享受到高品质视频带来的便利。例如，酒店和会展公司不仅提供场地，还能提供标准化的视频记录和直播服务；企业可以为来访嘉宾提供一份高质量的个性化来访视频记录；剧院、体育场馆、旅游景点等也都能通过智能拍摄，创造出全新的视频消费场景。</w:t>
      </w:r>
    </w:p>
    <w:p w14:paraId="7C0C0BB3">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从未来趋势来看，AI驱动的视频生产方式正在重构。从科旭威尔的应用经验来看，智能拍摄技术最早应用于卫星发射中心等尖端领域，随后扩展到人民大会堂、国家大剧院等高权重会议场景，再到教学培训、综艺、体育等更广泛的领域。</w:t>
      </w:r>
    </w:p>
    <w:p w14:paraId="6D0E0C46">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自2024年全面布局人工智能以来，AI算法正在驱动视频生产方式的重构。成熟的场景通过技术迭代，实现了更高品质和更加内容安全的视频生产和播出。</w:t>
      </w:r>
    </w:p>
    <w:p w14:paraId="284BB7B6">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0" w:firstLineChars="200"/>
        <w:textAlignment w:val="auto"/>
        <w:rPr>
          <w:rFonts w:ascii="仿宋_GB2312" w:cs="楷体_GB2312" w:eastAsia="仿宋_GB2312" w:hAnsi="仿宋" w:hint="eastAsia"/>
          <w:b w:val="false"/>
          <w:bCs/>
          <w:color w:val="00000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在2026年的今天，我们已经看到，在新闻中心，全域行走拍摄机器人“走地机”正在不知疲倦的移动拍摄；在交易大会会场，会议场景智能拍摄系统科易星正在自动摄像和导播；在国创中心，参会者在现场与互动摄像头互动，结束后扫码即可生成一段包含展会亮点与个人高光时刻的专属Vlog。</w:t>
      </w:r>
    </w:p>
    <w:p w14:paraId="43FC81DC">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560"/>
        <w:ind w:leftChars="0" w:firstLine="720" w:firstLineChars="200"/>
        <w:textAlignment w:val="auto"/>
        <w:rPr>
          <w:rFonts w:ascii="仿宋_GB2312" w:cs="楷体_GB2312" w:eastAsia="仿宋_GB2312" w:hAnsi="仿宋" w:hint="default"/>
          <w:b w:val="false"/>
          <w:bCs/>
          <w:color w:val="0070c0"/>
          <w:kern w:val="44"/>
          <w:sz w:val="36"/>
          <w:szCs w:val="36"/>
          <w:lang w:val="en-US" w:bidi="ar-SA" w:eastAsia="zh-CN"/>
        </w:rPr>
      </w:pPr>
      <w:r>
        <w:rPr>
          <w:rFonts w:ascii="仿宋_GB2312" w:cs="楷体_GB2312" w:eastAsia="仿宋_GB2312" w:hAnsi="仿宋" w:hint="eastAsia"/>
          <w:b w:val="false"/>
          <w:bCs/>
          <w:color w:val="000000"/>
          <w:kern w:val="44"/>
          <w:sz w:val="36"/>
          <w:szCs w:val="36"/>
          <w:lang w:val="en-US" w:bidi="ar-SA" w:eastAsia="zh-CN"/>
        </w:rPr>
        <w:t>这表明，智能拍摄与人工拍摄并非对立，而是相辅相成的关系。智能拍摄将人们从繁琐、重复的劳动中解放出来，让创作者能将更多精力投入到创意和深度内容的挖掘上。两者的结合，将发挥出更大的创作潜力，为我们带来更加丰富、高效和个性化的视听体验。</w:t>
      </w:r>
      <w:bookmarkStart w:id="0" w:name="_GoBack"/>
      <w:bookmarkEnd w:id="0"/>
    </w:p>
    <w:sectPr>
      <w:pgSz w:w="11906" w:h="16838" w:orient="portrait"/>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34"/>
    <w:family w:val="roman"/>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704020002020204"/>
    <w:charset w:val="01"/>
    <w:family w:val="swiss"/>
    <w:pitch w:val="default"/>
    <w:sig w:usb0="E0002AFF" w:usb1="C0007843"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609020002020404"/>
    <w:charset w:val="01"/>
    <w:family w:val="modern"/>
    <w:pitch w:val="default"/>
    <w:sig w:usb0="E0002AFF" w:usb1="C0007843" w:usb2="00000009" w:usb3="00000000" w:csb0="400001FF" w:csb1="FFFF0000"/>
  </w:font>
  <w:font w:name="Symbol">
    <w:altName w:val="Kingsoft Sign"/>
    <w:panose1 w:val="05050102010007020507"/>
    <w:charset w:val="02"/>
    <w:family w:val="roman"/>
    <w:pitch w:val="default"/>
    <w:sig w:usb0="00000000" w:usb1="00000000" w:usb2="00000000" w:usb3="00000000" w:csb0="80000000" w:csb1="00000000"/>
  </w:font>
  <w:font w:name="Calibri">
    <w:altName w:val="Helvetica Neue"/>
    <w:panose1 w:val="020f0502020002030204"/>
    <w:charset w:val="00"/>
    <w:family w:val="swiss"/>
    <w:pitch w:val="default"/>
    <w:sig w:usb0="00000000" w:usb1="00000000" w:usb2="00000001" w:usb3="00000000" w:csb0="0000019F" w:csb1="00000000"/>
  </w:font>
  <w:font w:name="仿宋_GB2312">
    <w:altName w:val="仿宋_GB2312"/>
    <w:panose1 w:val="02010609030001010101"/>
    <w:charset w:val="86"/>
    <w:family w:val="modern"/>
    <w:pitch w:val="default"/>
    <w:sig w:usb0="00000001" w:usb1="080E0000" w:usb2="00000000" w:usb3="00000000" w:csb0="00040000" w:csb1="00000000"/>
  </w:font>
  <w:font w:name="仿宋">
    <w:altName w:val="方正仿宋_GBK"/>
    <w:panose1 w:val="02010609060001010101"/>
    <w:charset w:val="86"/>
    <w:family w:val="modern"/>
    <w:pitch w:val="default"/>
    <w:sig w:usb0="00000000" w:usb1="00000000" w:usb2="00000016" w:usb3="00000000" w:csb0="00040001" w:csb1="00000000"/>
  </w:font>
  <w:font w:name="楷体_GB2312">
    <w:altName w:val="楷体_GB2312"/>
    <w:panose1 w:val="02010609030001010101"/>
    <w:charset w:val="86"/>
    <w:family w:val="modern"/>
    <w:pitch w:val="default"/>
    <w:sig w:usb0="00000001" w:usb1="080E0000" w:usb2="00000000" w:usb3="00000000" w:csb0="00040000" w:csb1="00000000"/>
  </w:font>
  <w:font w:name="汉仪书宋二KW">
    <w:altName w:val="汉仪书宋二KW"/>
    <w:panose1 w:val="00020600040001010101"/>
    <w:charset w:val="86"/>
    <w:family w:val="auto"/>
    <w:pitch w:val="default"/>
    <w:sig w:usb0="A00002BF" w:usb1="18EF7CFA" w:usb2="00000016" w:usb3="00000000" w:csb0="00040000" w:csb1="00000000"/>
  </w:font>
  <w:font w:name="方正仿宋_GBK">
    <w:altName w:val="方正仿宋_GBK"/>
    <w:panose1 w:val="02000000000000000000"/>
    <w:charset w:val="86"/>
    <w:family w:val="auto"/>
    <w:pitch w:val="default"/>
    <w:sig w:usb0="A00002BF" w:usb1="38CF7CFA" w:usb2="00082016" w:usb3="00000000" w:csb0="00040001" w:csb1="00000000"/>
  </w:font>
  <w:font w:name="Helvetica Neue">
    <w:altName w:val="Helvetica Neue"/>
    <w:panose1 w:val="02000503000000020004"/>
    <w:charset w:val="00"/>
    <w:family w:val="auto"/>
    <w:pitch w:val="default"/>
    <w:sig w:usb0="E50002FF" w:usb1="500079DB" w:usb2="00000010" w:usb3="00000000" w:csb0="00000000" w:csb1="00000000"/>
  </w:font>
  <w:font w:name="Kingsoft Sign">
    <w:altName w:val="Kingsoft Sign"/>
    <w:panose1 w:val="05050102010007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DDBFC1EF"/>
    <w:lvl w:ilvl="0">
      <w:start w:val="3"/>
      <w:numFmt w:val="chineseCounting"/>
      <w:suff w:val="nothing"/>
      <w:lvlText w:val="第%1，"/>
      <w:lvlJc w:val="left"/>
      <w:pPr/>
      <w:rPr>
        <w:rFonts w:hint="eastAsia"/>
      </w:r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24"/>
  <w:embedSystemFonts/>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4"/>
      <w:lang w:val="en-US" w:bidi="ar-SA" w:eastAsia="zh-CN"/>
    </w:rPr>
  </w:style>
  <w:style w:type="character" w:default="1" w:styleId="style65">
    <w:name w:val="Default Paragraph Font"/>
    <w:next w:val="style65"/>
    <w:uiPriority w:val="0"/>
  </w:style>
  <w:style w:type="table" w:default="1" w:styleId="style105">
    <w:name w:val="Normal Table"/>
    <w:next w:val="style105"/>
    <w:qFormat/>
    <w:uiPriority w:val="0"/>
    <w:pPr/>
    <w:rPr/>
    <w:tblPr>
      <w:tblCellMar>
        <w:top w:w="0" w:type="dxa"/>
        <w:left w:w="108" w:type="dxa"/>
        <w:bottom w:w="0" w:type="dxa"/>
        <w:right w:w="108" w:type="dxa"/>
      </w:tblCellMar>
    </w:tblPr>
    <w:tcPr>
      <w:tcBorders/>
    </w:tcPr>
  </w:style>
  <w:style w:type="character" w:styleId="style87">
    <w:name w:val="Strong"/>
    <w:basedOn w:val="style65"/>
    <w:next w:val="style87"/>
    <w:qFormat/>
    <w:uiPriority w:val="22"/>
    <w:rPr>
      <w:b/>
      <w:bCs/>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Words>4360</Words>
  <Pages>10</Pages>
  <Characters>4405</Characters>
  <Application>WPS Office</Application>
  <DocSecurity>0</DocSecurity>
  <Paragraphs>53</Paragraphs>
  <ScaleCrop>false</ScaleCrop>
  <LinksUpToDate>false</LinksUpToDate>
  <CharactersWithSpaces>4414</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2025-04-01T06:37:00Z</dcterms:created>
  <dc:creator>Van Coster</dc:creator>
  <lastModifiedBy>25098PN5AC</lastModifiedBy>
  <dcterms:modified xsi:type="dcterms:W3CDTF">2026-03-26T07:00:10Z</dcterms:modified>
  <revision>1</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b0e25cedddc64f2293fc3fd86d793be5_23</vt:lpwstr>
  </property>
  <property fmtid="{D5CDD505-2E9C-101B-9397-08002B2CF9AE}" pid="4" name="KSOTemplateDocerSaveRecord">
    <vt:lpwstr>eyJoZGlkIjoiNTgzMmMyY2QzNzUwNTE3MmQ5YjFiYTcwMTI1ZDgwMzkiLCJ1c2VySWQiOiI1NzUwODUzMjMifQ==</vt:lpwstr>
  </property>
</Properties>
</file>