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DE2D98">
      <w:pPr>
        <w:pStyle w:val="3"/>
        <w:widowControl/>
        <w:shd w:val="clear" w:color="auto" w:fill="FFFFFF"/>
        <w:spacing w:beforeAutospacing="0" w:after="140" w:afterAutospacing="0" w:line="14" w:lineRule="atLeast"/>
        <w:jc w:val="center"/>
        <w:rPr>
          <w:rFonts w:hint="default" w:ascii="Microsoft YaHei UI" w:hAnsi="Microsoft YaHei UI" w:eastAsia="Microsoft YaHei UI" w:cs="Microsoft YaHei UI"/>
          <w:spacing w:val="5"/>
          <w:sz w:val="32"/>
          <w:szCs w:val="32"/>
          <w:shd w:val="clear" w:color="auto" w:fill="FFFFFF"/>
        </w:rPr>
      </w:pPr>
      <w:r>
        <w:rPr>
          <w:rFonts w:ascii="Microsoft YaHei UI" w:hAnsi="Microsoft YaHei UI" w:eastAsia="Microsoft YaHei UI" w:cs="Microsoft YaHei UI"/>
          <w:spacing w:val="5"/>
          <w:sz w:val="32"/>
          <w:szCs w:val="32"/>
          <w:shd w:val="clear" w:color="auto" w:fill="FFFFFF"/>
        </w:rPr>
        <w:t>2026中关村论坛年会元宇宙创新发展论坛</w:t>
      </w:r>
    </w:p>
    <w:p w14:paraId="4AF10487">
      <w:pPr>
        <w:keepNext w:val="0"/>
        <w:keepLines w:val="0"/>
        <w:widowControl/>
        <w:suppressLineNumbers w:val="0"/>
        <w:jc w:val="center"/>
        <w:rPr>
          <w:rFonts w:hint="default" w:ascii="Microsoft YaHei UI" w:hAnsi="Microsoft YaHei UI" w:eastAsia="Microsoft YaHei UI" w:cs="Microsoft YaHei UI"/>
          <w:b/>
          <w:spacing w:val="5"/>
          <w:kern w:val="44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Microsoft YaHei UI" w:hAnsi="Microsoft YaHei UI" w:eastAsia="Microsoft YaHei UI" w:cs="Microsoft YaHei UI"/>
          <w:b/>
          <w:spacing w:val="5"/>
          <w:kern w:val="44"/>
          <w:sz w:val="32"/>
          <w:szCs w:val="32"/>
          <w:shd w:val="clear" w:color="auto" w:fill="FFFFFF"/>
          <w:lang w:val="en-US" w:eastAsia="zh-CN" w:bidi="ar-SA"/>
        </w:rPr>
        <w:t>顺利召开</w:t>
      </w:r>
    </w:p>
    <w:p w14:paraId="41E90B1C">
      <w:pPr>
        <w:pStyle w:val="2"/>
        <w:ind w:firstLine="600" w:firstLineChars="200"/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3</w:t>
      </w:r>
      <w:r>
        <w:rPr>
          <w:rFonts w:ascii="方正仿宋_GBK" w:hAnsi="方正仿宋_GBK" w:eastAsia="方正仿宋_GBK" w:cs="方正仿宋_GBK"/>
          <w:bCs/>
          <w:sz w:val="30"/>
          <w:szCs w:val="30"/>
        </w:rPr>
        <w:t>月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2</w:t>
      </w:r>
      <w:r>
        <w:rPr>
          <w:rFonts w:ascii="方正仿宋_GBK" w:hAnsi="方正仿宋_GBK" w:eastAsia="方正仿宋_GBK" w:cs="方正仿宋_GBK"/>
          <w:bCs/>
          <w:sz w:val="30"/>
          <w:szCs w:val="30"/>
        </w:rPr>
        <w:t>5日，</w:t>
      </w:r>
      <w:r>
        <w:rPr>
          <w:rFonts w:ascii="方正仿宋_GBK" w:hAnsi="方正仿宋_GBK" w:eastAsia="方正仿宋_GBK" w:cs="方正仿宋_GBK"/>
          <w:b/>
          <w:bCs w:val="0"/>
          <w:sz w:val="30"/>
          <w:szCs w:val="30"/>
        </w:rPr>
        <w:t>202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</w:rPr>
        <w:t>6</w:t>
      </w:r>
      <w:r>
        <w:rPr>
          <w:rFonts w:ascii="方正仿宋_GBK" w:hAnsi="方正仿宋_GBK" w:eastAsia="方正仿宋_GBK" w:cs="方正仿宋_GBK"/>
          <w:b/>
          <w:bCs w:val="0"/>
          <w:sz w:val="30"/>
          <w:szCs w:val="30"/>
        </w:rPr>
        <w:t>年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</w:rPr>
        <w:t>中关村论坛年会元宇宙创新发展论坛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在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北京中关村国际创新中心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召开，</w:t>
      </w: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本次论坛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以“元启未来”为主题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聚焦核心技术、关键标准、生态合作、国际交流等四大方面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，推动元宇宙产业创新发展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。工业和信息化部科技司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副司长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  <w:lang w:val="en-US" w:eastAsia="zh-CN"/>
        </w:rPr>
        <w:t>杜广达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，加拿大工程院院士、欧洲科学院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外籍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院士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  <w:lang w:eastAsia="zh-CN"/>
        </w:rPr>
        <w:t>郭嵩，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国际欧亚科学院院士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  <w:lang w:val="en-US" w:eastAsia="zh-CN"/>
        </w:rPr>
        <w:t>赵新力，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中国电子技术标准化研究院副院长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</w:rPr>
        <w:t>陈大纪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以及河北省科学技术厅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陕西省科学技术厅、北京市经济和信息化</w:t>
      </w:r>
      <w:r>
        <w:rPr>
          <w:rFonts w:hint="eastAsia" w:ascii="方正仿宋_GBK" w:hAnsi="方正仿宋_GBK" w:eastAsia="方正仿宋_GBK" w:cs="方正仿宋_GBK"/>
          <w:bCs/>
          <w:color w:val="C00000"/>
          <w:sz w:val="30"/>
          <w:szCs w:val="30"/>
          <w:lang w:val="en-US" w:eastAsia="zh-CN"/>
        </w:rPr>
        <w:t>局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、中国电子工业标准化技术协会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等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单位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领导出席论坛。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会议由中国电子技术标准化研究院软件中心主任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  <w:lang w:val="en-US" w:eastAsia="zh-CN"/>
        </w:rPr>
        <w:t>王志鹏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主持。</w:t>
      </w:r>
    </w:p>
    <w:p w14:paraId="5237BD19">
      <w:pPr>
        <w:ind w:firstLine="600" w:firstLineChars="200"/>
        <w:rPr>
          <w:rFonts w:hint="eastAsia" w:ascii="方正仿宋_GBK" w:hAnsi="方正仿宋_GBK" w:eastAsia="方正仿宋_GBK" w:cs="方正仿宋_GBK"/>
          <w:b w:val="0"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  <w:lang w:val="en-US" w:eastAsia="zh-CN"/>
        </w:rPr>
        <w:t>杜广达</w:t>
      </w:r>
      <w:r>
        <w:rPr>
          <w:rFonts w:hint="eastAsia" w:ascii="方正仿宋_GBK" w:hAnsi="方正仿宋_GBK" w:eastAsia="方正仿宋_GBK" w:cs="方正仿宋_GBK"/>
          <w:b w:val="0"/>
          <w:bCs/>
          <w:kern w:val="2"/>
          <w:sz w:val="30"/>
          <w:szCs w:val="30"/>
          <w:lang w:val="en-US" w:eastAsia="zh-CN" w:bidi="ar-SA"/>
        </w:rPr>
        <w:t>在讲话中表示，</w:t>
      </w: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当前，元宇宙</w:t>
      </w:r>
      <w:r>
        <w:rPr>
          <w:rFonts w:hint="eastAsia" w:ascii="方正仿宋_GBK" w:hAnsi="方正仿宋_GBK" w:eastAsia="方正仿宋_GBK" w:cs="方正仿宋_GBK"/>
          <w:b w:val="0"/>
          <w:bCs/>
          <w:kern w:val="2"/>
          <w:sz w:val="30"/>
          <w:szCs w:val="30"/>
          <w:lang w:val="en-US" w:eastAsia="zh-CN" w:bidi="ar-SA"/>
        </w:rPr>
        <w:t>已成为全球数字经济与未来产业合作竞争的重要前沿领域。要认真贯彻落实党中央重大决策部署，深入推进元宇宙等未来产业发展，着力做好四方面工作：</w:t>
      </w:r>
      <w:r>
        <w:rPr>
          <w:rFonts w:hint="eastAsia" w:ascii="方正仿宋_GBK" w:hAnsi="方正仿宋_GBK" w:eastAsia="方正仿宋_GBK" w:cs="方正仿宋_GBK"/>
          <w:b/>
          <w:bCs w:val="0"/>
          <w:kern w:val="2"/>
          <w:sz w:val="30"/>
          <w:szCs w:val="30"/>
          <w:lang w:val="en-US" w:eastAsia="zh-CN" w:bidi="ar-SA"/>
        </w:rPr>
        <w:t>一是坚持创新驱动，加快集成式技术创新；二是坚持场景牵引，赋能行业高质量发展；三是</w:t>
      </w:r>
      <w:r>
        <w:rPr>
          <w:rFonts w:hint="default" w:ascii="方正仿宋_GBK" w:hAnsi="方正仿宋_GBK" w:eastAsia="方正仿宋_GBK" w:cs="方正仿宋_GBK"/>
          <w:b/>
          <w:bCs w:val="0"/>
          <w:kern w:val="2"/>
          <w:sz w:val="30"/>
          <w:szCs w:val="30"/>
          <w:lang w:val="en-US" w:eastAsia="zh-CN" w:bidi="ar-SA"/>
        </w:rPr>
        <w:t>坚持</w:t>
      </w:r>
      <w:r>
        <w:rPr>
          <w:rFonts w:hint="eastAsia" w:ascii="方正仿宋_GBK" w:hAnsi="方正仿宋_GBK" w:eastAsia="方正仿宋_GBK" w:cs="方正仿宋_GBK"/>
          <w:b/>
          <w:bCs w:val="0"/>
          <w:kern w:val="2"/>
          <w:sz w:val="30"/>
          <w:szCs w:val="30"/>
          <w:lang w:val="en-US" w:eastAsia="zh-CN" w:bidi="ar-SA"/>
        </w:rPr>
        <w:t>标准</w:t>
      </w:r>
      <w:r>
        <w:rPr>
          <w:rFonts w:hint="default" w:ascii="方正仿宋_GBK" w:hAnsi="方正仿宋_GBK" w:eastAsia="方正仿宋_GBK" w:cs="方正仿宋_GBK"/>
          <w:b/>
          <w:bCs w:val="0"/>
          <w:kern w:val="2"/>
          <w:sz w:val="30"/>
          <w:szCs w:val="30"/>
          <w:lang w:val="en-US" w:eastAsia="zh-CN" w:bidi="ar-SA"/>
        </w:rPr>
        <w:t>引领，</w:t>
      </w:r>
      <w:r>
        <w:rPr>
          <w:rFonts w:hint="eastAsia" w:ascii="方正仿宋_GBK" w:hAnsi="方正仿宋_GBK" w:eastAsia="方正仿宋_GBK" w:cs="方正仿宋_GBK"/>
          <w:b/>
          <w:bCs w:val="0"/>
          <w:kern w:val="2"/>
          <w:sz w:val="30"/>
          <w:szCs w:val="30"/>
          <w:lang w:val="en-US" w:eastAsia="zh-CN" w:bidi="ar-SA"/>
        </w:rPr>
        <w:t>构建高水平治理体系；四是</w:t>
      </w:r>
      <w:r>
        <w:rPr>
          <w:rFonts w:hint="default" w:ascii="方正仿宋_GBK" w:hAnsi="方正仿宋_GBK" w:eastAsia="方正仿宋_GBK" w:cs="方正仿宋_GBK"/>
          <w:b/>
          <w:bCs w:val="0"/>
          <w:kern w:val="2"/>
          <w:sz w:val="30"/>
          <w:szCs w:val="30"/>
          <w:lang w:val="en-US" w:eastAsia="zh-CN" w:bidi="ar-SA"/>
        </w:rPr>
        <w:t>坚持开放</w:t>
      </w:r>
      <w:r>
        <w:rPr>
          <w:rFonts w:hint="eastAsia" w:ascii="方正仿宋_GBK" w:hAnsi="方正仿宋_GBK" w:eastAsia="方正仿宋_GBK" w:cs="方正仿宋_GBK"/>
          <w:b/>
          <w:bCs w:val="0"/>
          <w:kern w:val="2"/>
          <w:sz w:val="30"/>
          <w:szCs w:val="30"/>
          <w:lang w:val="en-US" w:eastAsia="zh-CN" w:bidi="ar-SA"/>
        </w:rPr>
        <w:t>共赢</w:t>
      </w:r>
      <w:r>
        <w:rPr>
          <w:rFonts w:hint="default" w:ascii="方正仿宋_GBK" w:hAnsi="方正仿宋_GBK" w:eastAsia="方正仿宋_GBK" w:cs="方正仿宋_GBK"/>
          <w:b/>
          <w:bCs w:val="0"/>
          <w:kern w:val="2"/>
          <w:sz w:val="30"/>
          <w:szCs w:val="30"/>
          <w:lang w:val="en-US" w:eastAsia="zh-CN" w:bidi="ar-SA"/>
        </w:rPr>
        <w:t>，</w:t>
      </w:r>
      <w:r>
        <w:rPr>
          <w:rFonts w:hint="eastAsia" w:ascii="方正仿宋_GBK" w:hAnsi="方正仿宋_GBK" w:eastAsia="方正仿宋_GBK" w:cs="方正仿宋_GBK"/>
          <w:b/>
          <w:bCs w:val="0"/>
          <w:kern w:val="2"/>
          <w:sz w:val="30"/>
          <w:szCs w:val="30"/>
          <w:lang w:val="en-US" w:eastAsia="zh-CN" w:bidi="ar-SA"/>
        </w:rPr>
        <w:t>拓展国际合作新空间</w:t>
      </w:r>
      <w:r>
        <w:rPr>
          <w:rFonts w:hint="eastAsia" w:ascii="方正仿宋_GBK" w:hAnsi="方正仿宋_GBK" w:eastAsia="方正仿宋_GBK" w:cs="方正仿宋_GBK"/>
          <w:b w:val="0"/>
          <w:bCs/>
          <w:kern w:val="2"/>
          <w:sz w:val="30"/>
          <w:szCs w:val="30"/>
          <w:lang w:val="en-US" w:eastAsia="zh-CN" w:bidi="ar-SA"/>
        </w:rPr>
        <w:t>。</w:t>
      </w:r>
    </w:p>
    <w:p w14:paraId="659AF43C">
      <w:pPr>
        <w:pStyle w:val="2"/>
        <w:rPr>
          <w:rFonts w:hint="default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</w:pPr>
    </w:p>
    <w:p w14:paraId="7DB2DA78"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</w:rPr>
        <w:t>陈大纪</w:t>
      </w:r>
      <w:r>
        <w:rPr>
          <w:rFonts w:hint="eastAsia" w:ascii="方正仿宋_GBK" w:hAnsi="方正仿宋_GBK" w:eastAsia="方正仿宋_GBK" w:cs="方正仿宋_GBK"/>
          <w:b w:val="0"/>
          <w:bCs/>
          <w:sz w:val="30"/>
          <w:szCs w:val="30"/>
          <w:lang w:val="en-US" w:eastAsia="zh-CN"/>
        </w:rPr>
        <w:t>在讲话中表示</w:t>
      </w:r>
      <w:r>
        <w:rPr>
          <w:rFonts w:hint="eastAsia" w:ascii="方正仿宋_GBK" w:hAnsi="方正仿宋_GBK" w:eastAsia="方正仿宋_GBK" w:cs="方正仿宋_GBK"/>
          <w:b w:val="0"/>
          <w:bCs/>
          <w:kern w:val="2"/>
          <w:sz w:val="30"/>
          <w:szCs w:val="30"/>
          <w:lang w:val="en-US" w:eastAsia="zh-CN" w:bidi="ar-SA"/>
        </w:rPr>
        <w:t>，</w:t>
      </w: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作为数字经济的重要赛道，元宇宙集成区块链、空间智能、扩展现实等前沿技术，既为产业数字化带来新机遇，也拓展了消费新场景。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中国</w:t>
      </w: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电子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技术</w:t>
      </w: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标准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化研究</w:t>
      </w: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院将基于已有工作基础，</w:t>
      </w:r>
      <w:r>
        <w:rPr>
          <w:rFonts w:hint="eastAsia" w:ascii="方正仿宋_GBK" w:hAnsi="方正仿宋_GBK" w:eastAsia="方正仿宋_GBK" w:cs="方正仿宋_GBK"/>
          <w:b/>
          <w:bCs w:val="0"/>
          <w:kern w:val="2"/>
          <w:sz w:val="30"/>
          <w:szCs w:val="30"/>
          <w:lang w:val="en-US" w:eastAsia="zh-CN" w:bidi="ar-SA"/>
        </w:rPr>
        <w:t>强化标准顶层设计、开展重点标准研制、加强标准应用推广、加快国际标准布局</w:t>
      </w: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，进一步深化国际互学互鉴与开放合作，汇聚全球智慧与力量，共同推动元宇宙领域国际合作走深走实。</w:t>
      </w:r>
    </w:p>
    <w:p w14:paraId="2A10EFD9">
      <w:pPr>
        <w:rPr>
          <w:rFonts w:hint="default"/>
          <w:lang w:val="en-US" w:eastAsia="zh-CN"/>
        </w:rPr>
      </w:pPr>
    </w:p>
    <w:p w14:paraId="71E78651">
      <w:pPr>
        <w:pStyle w:val="2"/>
        <w:ind w:firstLine="600" w:firstLineChars="200"/>
        <w:rPr>
          <w:rFonts w:hint="eastAsia" w:ascii="方正仿宋_GBK" w:hAnsi="方正仿宋_GBK" w:eastAsia="方正仿宋_GBK" w:cs="方正仿宋_GBK"/>
          <w:bCs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国际电子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竞技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委员会（IEC）秘书局主席、秘书长</w:t>
      </w:r>
      <w:r>
        <w:rPr>
          <w:rFonts w:hint="eastAsia" w:ascii="方正仿宋_GBK" w:hAnsi="方正仿宋_GBK" w:eastAsia="方正仿宋_GBK" w:cs="方正仿宋_GBK"/>
          <w:b/>
          <w:sz w:val="30"/>
          <w:szCs w:val="30"/>
        </w:rPr>
        <w:t>奉龙潭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（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  <w:t>BONG YONG DAM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，全球电子竞技联合会（GEF）高级顾问</w:t>
      </w:r>
      <w:r>
        <w:rPr>
          <w:rFonts w:hint="eastAsia" w:ascii="方正仿宋_GBK" w:hAnsi="方正仿宋_GBK" w:eastAsia="方正仿宋_GBK" w:cs="方正仿宋_GBK"/>
          <w:b/>
          <w:sz w:val="30"/>
          <w:szCs w:val="30"/>
        </w:rPr>
        <w:t>邱进航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（</w:t>
      </w:r>
      <w:r>
        <w:rPr>
          <w:rFonts w:hint="default" w:ascii="仿宋_GB2312" w:hAnsi="Calibri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  <w:t>Nicholas Khoo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）、国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际标准化组织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区块链标委会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（IS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O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/TC 307）新西兰国家成员体负责人</w:t>
      </w:r>
      <w:r>
        <w:rPr>
          <w:rFonts w:hint="eastAsia" w:ascii="方正仿宋_GBK" w:hAnsi="方正仿宋_GBK" w:eastAsia="方正仿宋_GBK" w:cs="方正仿宋_GBK"/>
          <w:b/>
          <w:sz w:val="30"/>
          <w:szCs w:val="30"/>
        </w:rPr>
        <w:t>马克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（</w:t>
      </w:r>
      <w:r>
        <w:rPr>
          <w:rFonts w:hint="eastAsia" w:ascii="仿宋_GB2312" w:hAnsi="Calibri" w:eastAsia="仿宋_GB2312" w:cs="Times New Roman"/>
          <w:color w:val="000000"/>
          <w:kern w:val="2"/>
          <w:sz w:val="32"/>
          <w:szCs w:val="32"/>
          <w:highlight w:val="none"/>
          <w:lang w:val="en-US" w:eastAsia="zh-CN" w:bidi="ar-SA"/>
        </w:rPr>
        <w:t>Marc Krisjanous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）等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国际组织代表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线上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出席论坛并致辞。</w:t>
      </w:r>
    </w:p>
    <w:p w14:paraId="2F4C76C9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105410</wp:posOffset>
            </wp:positionV>
            <wp:extent cx="2118995" cy="1341120"/>
            <wp:effectExtent l="0" t="0" r="0" b="0"/>
            <wp:wrapSquare wrapText="bothSides"/>
            <wp:docPr id="8" name="图片 8" descr="2523900d14f4d16b25abed133f5f1c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23900d14f4d16b25abed133f5f1cb6"/>
                    <pic:cNvPicPr>
                      <a:picLocks noChangeAspect="1"/>
                    </pic:cNvPicPr>
                  </pic:nvPicPr>
                  <pic:blipFill>
                    <a:blip r:embed="rId4"/>
                    <a:srcRect b="5036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81915</wp:posOffset>
            </wp:positionV>
            <wp:extent cx="2014220" cy="1341120"/>
            <wp:effectExtent l="0" t="0" r="5080" b="50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 w14:paraId="497EF24A">
      <w:pPr>
        <w:pStyle w:val="2"/>
        <w:rPr>
          <w:rFonts w:hint="eastAsia"/>
          <w:lang w:val="en-US" w:eastAsia="zh-CN"/>
        </w:rPr>
      </w:pPr>
    </w:p>
    <w:p w14:paraId="09B45984">
      <w:pPr>
        <w:ind w:firstLine="600" w:firstLineChars="200"/>
        <w:jc w:val="center"/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</w:pPr>
    </w:p>
    <w:p w14:paraId="0D1FBFBD">
      <w:pPr>
        <w:ind w:firstLine="600" w:firstLineChars="200"/>
        <w:jc w:val="center"/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（国际组织嘉宾致辞）</w:t>
      </w:r>
    </w:p>
    <w:p w14:paraId="0B00D0BE">
      <w:pPr>
        <w:ind w:firstLine="600" w:firstLineChars="200"/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本次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论坛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重磅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发布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《空间智能发展报告》《工业元宇宙发展报告》《LBE大空间发展报告》《链接元宇宙：应用与实践》研究报告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；面向社会公开征求工业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元宇宙、数字人、虚拟展厅、算力平台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等领域首批10项元宇宙行业标准意见，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并为17家元宇宙</w:t>
      </w:r>
      <w:r>
        <w:rPr>
          <w:rFonts w:ascii="方正仿宋_GBK" w:hAnsi="方正仿宋_GBK" w:eastAsia="方正仿宋_GBK" w:cs="方正仿宋_GBK"/>
          <w:bCs/>
          <w:sz w:val="30"/>
          <w:szCs w:val="30"/>
        </w:rPr>
        <w:t>标准首批验证单位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授牌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；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发布了</w:t>
      </w:r>
      <w:r>
        <w:rPr>
          <w:rFonts w:ascii="方正仿宋_GBK" w:hAnsi="方正仿宋_GBK" w:eastAsia="方正仿宋_GBK" w:cs="方正仿宋_GBK"/>
          <w:bCs/>
          <w:sz w:val="30"/>
          <w:szCs w:val="30"/>
        </w:rPr>
        <w:t>元宇宙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服务运营、大空间等领域</w:t>
      </w:r>
      <w:r>
        <w:rPr>
          <w:rFonts w:ascii="方正仿宋_GBK" w:hAnsi="方正仿宋_GBK" w:eastAsia="方正仿宋_GBK" w:cs="方正仿宋_GBK"/>
          <w:bCs/>
          <w:sz w:val="30"/>
          <w:szCs w:val="30"/>
        </w:rPr>
        <w:t>团体标准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3项。</w:t>
      </w:r>
    </w:p>
    <w:p w14:paraId="433D46CC"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6630"/>
            <wp:effectExtent l="0" t="0" r="10160" b="1270"/>
            <wp:docPr id="10" name="图片 10" descr="2b54fc9b1fb6b54e659a206adfd60e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b54fc9b1fb6b54e659a206adfd60e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D860">
      <w:pPr>
        <w:ind w:firstLine="600" w:firstLineChars="200"/>
        <w:jc w:val="center"/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（元宇宙产业研究报告发布）</w:t>
      </w:r>
    </w:p>
    <w:p w14:paraId="7A95308E"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6630"/>
            <wp:effectExtent l="0" t="0" r="10160" b="1270"/>
            <wp:docPr id="9" name="图片 9" descr="c3f5ffe27fef2057977924e49b98a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3f5ffe27fef2057977924e49b98ae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58A8">
      <w:pPr>
        <w:ind w:firstLine="600" w:firstLineChars="200"/>
        <w:jc w:val="center"/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（首批</w:t>
      </w:r>
      <w:r>
        <w:rPr>
          <w:rFonts w:ascii="方正仿宋_GBK" w:hAnsi="方正仿宋_GBK" w:eastAsia="方正仿宋_GBK" w:cs="方正仿宋_GBK"/>
          <w:bCs/>
          <w:sz w:val="30"/>
          <w:szCs w:val="30"/>
        </w:rPr>
        <w:t>元宇宙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行业标准</w:t>
      </w:r>
      <w:r>
        <w:rPr>
          <w:rFonts w:ascii="方正仿宋_GBK" w:hAnsi="方正仿宋_GBK" w:eastAsia="方正仿宋_GBK" w:cs="方正仿宋_GBK"/>
          <w:bCs/>
          <w:sz w:val="30"/>
          <w:szCs w:val="30"/>
        </w:rPr>
        <w:t>征求意见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稿发布</w:t>
      </w: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）</w:t>
      </w:r>
    </w:p>
    <w:p w14:paraId="3637C087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813050"/>
            <wp:effectExtent l="0" t="0" r="0" b="0"/>
            <wp:docPr id="6" name="图片 6" descr="286367038d006a5c77bccb1baa51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86367038d006a5c77bccb1baa517896"/>
                    <pic:cNvPicPr>
                      <a:picLocks noChangeAspect="1"/>
                    </pic:cNvPicPr>
                  </pic:nvPicPr>
                  <pic:blipFill>
                    <a:blip r:embed="rId8"/>
                    <a:srcRect t="199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7892">
      <w:pPr>
        <w:ind w:firstLine="600" w:firstLineChars="200"/>
        <w:jc w:val="center"/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（</w:t>
      </w:r>
      <w:r>
        <w:rPr>
          <w:rFonts w:ascii="方正仿宋_GBK" w:hAnsi="方正仿宋_GBK" w:eastAsia="方正仿宋_GBK" w:cs="方正仿宋_GBK"/>
          <w:bCs/>
          <w:sz w:val="30"/>
          <w:szCs w:val="30"/>
        </w:rPr>
        <w:t>元宇宙团体标准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发布</w:t>
      </w: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）</w:t>
      </w:r>
    </w:p>
    <w:p w14:paraId="16AB1DC0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51430" cy="1701800"/>
            <wp:effectExtent l="0" t="0" r="1270" b="0"/>
            <wp:docPr id="12" name="图片 12" descr="e96131443c3992a7c1625d2d652869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96131443c3992a7c1625d2d652869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85415" cy="1710055"/>
            <wp:effectExtent l="0" t="0" r="0" b="0"/>
            <wp:docPr id="13" name="图片 13" descr="d041e6b7bb300c3c5b92ffe703cce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041e6b7bb300c3c5b92ffe703cce057"/>
                    <pic:cNvPicPr>
                      <a:picLocks noChangeAspect="1"/>
                    </pic:cNvPicPr>
                  </pic:nvPicPr>
                  <pic:blipFill>
                    <a:blip r:embed="rId10"/>
                    <a:srcRect t="4504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D413">
      <w:pPr>
        <w:ind w:firstLine="600" w:firstLineChars="200"/>
        <w:jc w:val="center"/>
        <w:rPr>
          <w:rFonts w:hint="eastAsia" w:eastAsia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（</w:t>
      </w:r>
      <w:r>
        <w:rPr>
          <w:rFonts w:ascii="方正仿宋_GBK" w:hAnsi="方正仿宋_GBK" w:eastAsia="方正仿宋_GBK" w:cs="方正仿宋_GBK"/>
          <w:bCs/>
          <w:sz w:val="30"/>
          <w:szCs w:val="30"/>
        </w:rPr>
        <w:t>标准首批验证单位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授牌）</w:t>
      </w:r>
    </w:p>
    <w:p w14:paraId="33E88664">
      <w:pPr>
        <w:ind w:firstLine="600" w:firstLineChars="200"/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主旨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报告环节，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  <w:lang w:val="en-US" w:eastAsia="zh-CN"/>
        </w:rPr>
        <w:t>郭嵩</w:t>
      </w:r>
      <w:r>
        <w:rPr>
          <w:rFonts w:hint="eastAsia" w:ascii="方正仿宋_GBK" w:hAnsi="方正仿宋_GBK" w:eastAsia="方正仿宋_GBK" w:cs="方正仿宋_GBK"/>
          <w:b w:val="0"/>
          <w:bCs/>
          <w:sz w:val="30"/>
          <w:szCs w:val="30"/>
          <w:lang w:val="en-US" w:eastAsia="zh-CN"/>
        </w:rPr>
        <w:t>作了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</w:rPr>
        <w:t>《当元宇宙遇见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  <w:lang w:val="en-US" w:eastAsia="zh-CN"/>
        </w:rPr>
        <w:t>物理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</w:rPr>
        <w:t>智能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  <w:lang w:eastAsia="zh-CN"/>
        </w:rPr>
        <w:t>——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</w:rPr>
        <w:t>虚实共生的未来图景》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的主题报告；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中国电子技术标准化研究院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国际导航与运动控制科学院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国际电子竞技委员会北京代表处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等单位专家分享了元宇宙技术、标准和产业发展情况。论坛聚焦</w:t>
      </w:r>
      <w:r>
        <w:rPr>
          <w:rFonts w:hint="eastAsia" w:ascii="方正仿宋_GBK" w:hAnsi="方正仿宋_GBK" w:eastAsia="方正仿宋_GBK" w:cs="方正仿宋_GBK"/>
          <w:b/>
          <w:bCs w:val="0"/>
          <w:sz w:val="30"/>
          <w:szCs w:val="30"/>
          <w:lang w:val="en-US" w:eastAsia="zh-CN"/>
        </w:rPr>
        <w:t>元宇宙生态合作与国际交流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，就AI与元宇宙融合创新、元宇宙应用场景、标准化国际合作等话题开展交流研讨。</w:t>
      </w:r>
    </w:p>
    <w:p w14:paraId="100D14F7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71745" cy="1432560"/>
            <wp:effectExtent l="0" t="0" r="0" b="0"/>
            <wp:docPr id="11" name="图片 11" descr="4f40568cfd2a315543a3f4faf58c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f40568cfd2a315543a3f4faf58c7766"/>
                    <pic:cNvPicPr>
                      <a:picLocks noChangeAspect="1"/>
                    </pic:cNvPicPr>
                  </pic:nvPicPr>
                  <pic:blipFill>
                    <a:blip r:embed="rId11"/>
                    <a:srcRect t="33562" r="3817" b="25664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A65B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40965" cy="1543050"/>
            <wp:effectExtent l="0" t="0" r="635" b="6350"/>
            <wp:docPr id="14" name="图片 14" descr="16c39a9bab7aa0132ad8107818ffa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c39a9bab7aa0132ad8107818ffa869"/>
                    <pic:cNvPicPr>
                      <a:picLocks noChangeAspect="1"/>
                    </pic:cNvPicPr>
                  </pic:nvPicPr>
                  <pic:blipFill>
                    <a:blip r:embed="rId12"/>
                    <a:srcRect l="6262" t="27356" r="28408" b="15438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28240" cy="1539240"/>
            <wp:effectExtent l="0" t="0" r="0" b="0"/>
            <wp:docPr id="18" name="图片 18" descr="46e61e5dc7b4ba8ac2f58c01ef835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6e61e5dc7b4ba8ac2f58c01ef835ba6"/>
                    <pic:cNvPicPr>
                      <a:picLocks noChangeAspect="1"/>
                    </pic:cNvPicPr>
                  </pic:nvPicPr>
                  <pic:blipFill>
                    <a:blip r:embed="rId13"/>
                    <a:srcRect b="4941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D3D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90800" cy="1728470"/>
            <wp:effectExtent l="0" t="0" r="0" b="11430"/>
            <wp:docPr id="16" name="图片 16" descr="5424270154a3c6c83c2b2263e020c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424270154a3c6c83c2b2263e020cea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03500" cy="1734820"/>
            <wp:effectExtent l="0" t="0" r="0" b="5080"/>
            <wp:docPr id="17" name="图片 17" descr="44099c604783fee811bc258c6dc6f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4099c604783fee811bc258c6dc6f9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752217">
      <w:pPr>
        <w:keepNext w:val="0"/>
        <w:keepLines w:val="0"/>
        <w:widowControl/>
        <w:suppressLineNumbers w:val="0"/>
        <w:jc w:val="center"/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（嘉宾主题演讲）</w:t>
      </w:r>
    </w:p>
    <w:p w14:paraId="11485FEC">
      <w:pP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273040" cy="2559050"/>
            <wp:effectExtent l="0" t="0" r="0" b="0"/>
            <wp:docPr id="19" name="图片 19" descr="49069e66daa9ec6406a6806cb27bd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9069e66daa9ec6406a6806cb27bdb5e"/>
                    <pic:cNvPicPr>
                      <a:picLocks noChangeAspect="1"/>
                    </pic:cNvPicPr>
                  </pic:nvPicPr>
                  <pic:blipFill>
                    <a:blip r:embed="rId16"/>
                    <a:srcRect t="7367" b="198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98E3">
      <w:pPr>
        <w:keepNext w:val="0"/>
        <w:keepLines w:val="0"/>
        <w:widowControl/>
        <w:suppressLineNumbers w:val="0"/>
        <w:jc w:val="center"/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Cs/>
          <w:kern w:val="2"/>
          <w:sz w:val="30"/>
          <w:szCs w:val="30"/>
          <w:lang w:val="en-US" w:eastAsia="zh-CN" w:bidi="ar-SA"/>
        </w:rPr>
        <w:t>（高峰对话）</w:t>
      </w:r>
    </w:p>
    <w:p w14:paraId="28FF8D7F">
      <w:pPr>
        <w:pStyle w:val="2"/>
        <w:rPr>
          <w:rFonts w:hint="eastAsia"/>
          <w:lang w:val="en-US" w:eastAsia="zh-CN"/>
        </w:rPr>
      </w:pPr>
    </w:p>
    <w:p w14:paraId="0ACE71DA">
      <w:pPr>
        <w:ind w:firstLine="600" w:firstLineChars="200"/>
        <w:jc w:val="left"/>
        <w:rPr>
          <w:rFonts w:hint="eastAsia" w:ascii="微软雅黑" w:hAnsi="微软雅黑" w:eastAsia="微软雅黑" w:cs="微软雅黑"/>
          <w:b/>
          <w:snapToGrid w:val="0"/>
          <w:kern w:val="0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下一步，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</w:rPr>
        <w:t>中国电子技术标准化研究院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将组织行业专家，持续推进</w:t>
      </w:r>
      <w:r>
        <w:rPr>
          <w:rFonts w:hint="eastAsia" w:ascii="方正仿宋_GBK" w:hAnsi="方正仿宋_GBK" w:eastAsia="方正仿宋_GBK" w:cs="方正仿宋_GBK"/>
          <w:bCs/>
          <w:sz w:val="30"/>
          <w:szCs w:val="30"/>
          <w:lang w:val="en-US" w:eastAsia="zh-CN"/>
        </w:rPr>
        <w:t>元宇宙理论、技术与产业研究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，同步开展元宇宙领域标准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研制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，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积极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举办标准宣贯活动，以标准为牵引促进元宇宙产业健康发展。</w:t>
      </w:r>
    </w:p>
    <w:p w14:paraId="2AA16A89">
      <w:pPr>
        <w:pStyle w:val="2"/>
        <w:jc w:val="center"/>
        <w:rPr>
          <w:rFonts w:hint="default" w:ascii="微软雅黑" w:hAnsi="微软雅黑" w:eastAsia="微软雅黑" w:cs="微软雅黑"/>
          <w:b/>
          <w:snapToGrid w:val="0"/>
          <w:kern w:val="0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snapToGrid w:val="0"/>
          <w:kern w:val="0"/>
          <w:sz w:val="32"/>
          <w:szCs w:val="32"/>
          <w:lang w:val="en-US" w:eastAsia="zh-CN" w:bidi="ar-SA"/>
        </w:rPr>
        <w:t>首批征求意见元宇宙行业标准清单：</w:t>
      </w:r>
    </w:p>
    <w:tbl>
      <w:tblPr>
        <w:tblStyle w:val="8"/>
        <w:tblW w:w="773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2"/>
        <w:gridCol w:w="6589"/>
      </w:tblGrid>
      <w:tr w14:paraId="7F98B9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4" w:space="0"/>
              <w:right w:val="single" w:color="FFFFFF" w:sz="8" w:space="0"/>
            </w:tcBorders>
            <w:shd w:val="clear" w:color="auto" w:fill="4F81BD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55D5D2"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FFFFFF"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color w:val="FFFFFF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4" w:space="0"/>
              <w:right w:val="single" w:color="FFFFFF" w:sz="8" w:space="0"/>
            </w:tcBorders>
            <w:shd w:val="clear" w:color="auto" w:fill="4F81BD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D99E3F"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FFFFFF"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color w:val="FFFFFF"/>
                <w:kern w:val="0"/>
                <w:szCs w:val="21"/>
                <w:lang w:val="en-US" w:eastAsia="zh-CN" w:bidi="ar"/>
              </w:rPr>
              <w:t>标准</w:t>
            </w:r>
            <w:r>
              <w:rPr>
                <w:rFonts w:hint="eastAsia" w:ascii="黑体" w:hAnsi="黑体" w:eastAsia="黑体" w:cs="黑体"/>
                <w:color w:val="FFFFFF"/>
                <w:kern w:val="0"/>
                <w:szCs w:val="21"/>
                <w:lang w:bidi="ar"/>
              </w:rPr>
              <w:t>名称</w:t>
            </w:r>
          </w:p>
        </w:tc>
      </w:tr>
      <w:tr w14:paraId="0DE011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43E55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618960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元宇宙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基础 术语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》</w:t>
            </w:r>
          </w:p>
        </w:tc>
      </w:tr>
      <w:tr w14:paraId="1E12CC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FBE0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D575BE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元宇宙 基础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工业元宇宙参考架构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》</w:t>
            </w:r>
          </w:p>
        </w:tc>
      </w:tr>
      <w:tr w14:paraId="6D6145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45833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3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E543A7">
            <w:pPr>
              <w:widowControl/>
              <w:jc w:val="center"/>
              <w:textAlignment w:val="center"/>
              <w:rPr>
                <w:rFonts w:hint="default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 xml:space="preserve">《元宇宙 测试评价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工业元宇宙能力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成熟度模型》</w:t>
            </w:r>
          </w:p>
        </w:tc>
      </w:tr>
      <w:tr w14:paraId="09469D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A390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4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98E75B7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 xml:space="preserve">《元宇宙 测试评价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工业元宇宙应用评估方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法》</w:t>
            </w:r>
          </w:p>
        </w:tc>
      </w:tr>
      <w:tr w14:paraId="7DFC76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156E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5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865F22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 xml:space="preserve">《元宇宙 设计开发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基于元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宇宙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的工厂规划建设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指南》</w:t>
            </w:r>
          </w:p>
        </w:tc>
      </w:tr>
      <w:tr w14:paraId="516D1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5F480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B9A148">
            <w:pPr>
              <w:widowControl/>
              <w:jc w:val="center"/>
              <w:textAlignment w:val="center"/>
              <w:rPr>
                <w:rFonts w:hint="default" w:ascii="楷体" w:hAnsi="楷体" w:eastAsia="楷体" w:cs="楷体"/>
                <w:color w:val="000000"/>
                <w:kern w:val="0"/>
                <w:szCs w:val="21"/>
                <w:lang w:val="en-US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《元宇宙 使能技术 网络资源数字映射能力分级评估方法》</w:t>
            </w:r>
          </w:p>
        </w:tc>
      </w:tr>
      <w:tr w14:paraId="23B49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55B6C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7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E001DE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元宇宙 共性服务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 xml:space="preserve"> 虚拟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数字人分级及分类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》</w:t>
            </w:r>
          </w:p>
        </w:tc>
      </w:tr>
      <w:tr w14:paraId="68862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337F8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8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B6EBF0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元宇宙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共性服务 虚拟数字人生成平台建设要术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》</w:t>
            </w:r>
          </w:p>
        </w:tc>
      </w:tr>
      <w:tr w14:paraId="4609DF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0A63F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9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0201BE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元宇宙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共性服务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虚拟展厅建设要术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》</w:t>
            </w:r>
          </w:p>
        </w:tc>
      </w:tr>
      <w:tr w14:paraId="39D355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C811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0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9BA345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元宇宙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基础设施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算力平台技术要求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》</w:t>
            </w:r>
          </w:p>
        </w:tc>
      </w:tr>
    </w:tbl>
    <w:p w14:paraId="18922F19"/>
    <w:p w14:paraId="35C4862D">
      <w:pPr>
        <w:pStyle w:val="2"/>
      </w:pPr>
    </w:p>
    <w:p w14:paraId="42843544">
      <w:pPr>
        <w:pStyle w:val="2"/>
        <w:jc w:val="center"/>
        <w:rPr>
          <w:rFonts w:hint="eastAsia" w:ascii="微软雅黑" w:hAnsi="微软雅黑" w:eastAsia="微软雅黑" w:cs="微软雅黑"/>
          <w:b/>
          <w:snapToGrid w:val="0"/>
          <w:kern w:val="0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snapToGrid w:val="0"/>
          <w:kern w:val="0"/>
          <w:sz w:val="32"/>
          <w:szCs w:val="32"/>
          <w:lang w:val="en-US" w:eastAsia="zh-CN" w:bidi="ar-SA"/>
        </w:rPr>
        <w:t>元宇宙团体标准清单：</w:t>
      </w:r>
    </w:p>
    <w:tbl>
      <w:tblPr>
        <w:tblStyle w:val="8"/>
        <w:tblW w:w="773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2"/>
        <w:gridCol w:w="6589"/>
      </w:tblGrid>
      <w:tr w14:paraId="38ACA8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4" w:space="0"/>
              <w:right w:val="single" w:color="FFFFFF" w:sz="8" w:space="0"/>
            </w:tcBorders>
            <w:shd w:val="clear" w:color="auto" w:fill="4F81BD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131DDE"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FFFFFF"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color w:val="FFFFFF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4" w:space="0"/>
              <w:right w:val="single" w:color="FFFFFF" w:sz="8" w:space="0"/>
            </w:tcBorders>
            <w:shd w:val="clear" w:color="auto" w:fill="4F81BD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EFB7BD"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FFFFFF"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color w:val="FFFFFF"/>
                <w:kern w:val="0"/>
                <w:szCs w:val="21"/>
                <w:lang w:val="en-US" w:eastAsia="zh-CN" w:bidi="ar"/>
              </w:rPr>
              <w:t>标准</w:t>
            </w:r>
            <w:r>
              <w:rPr>
                <w:rFonts w:hint="eastAsia" w:ascii="黑体" w:hAnsi="黑体" w:eastAsia="黑体" w:cs="黑体"/>
                <w:color w:val="FFFFFF"/>
                <w:kern w:val="0"/>
                <w:szCs w:val="21"/>
                <w:lang w:bidi="ar"/>
              </w:rPr>
              <w:t>名称</w:t>
            </w:r>
          </w:p>
        </w:tc>
      </w:tr>
      <w:tr w14:paraId="4971EF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04B58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87286C">
            <w:pPr>
              <w:widowControl/>
              <w:jc w:val="center"/>
              <w:textAlignment w:val="bottom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元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宇宙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 xml:space="preserve"> 服务运营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通用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要求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》</w:t>
            </w:r>
          </w:p>
        </w:tc>
      </w:tr>
      <w:tr w14:paraId="1204BC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DFCF5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7BC0DB">
            <w:pPr>
              <w:widowControl/>
              <w:jc w:val="center"/>
              <w:textAlignment w:val="bottom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bidi="ar"/>
              </w:rPr>
              <w:t>元</w:t>
            </w: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宇宙 大空间能力分级要求》</w:t>
            </w:r>
          </w:p>
        </w:tc>
      </w:tr>
      <w:tr w14:paraId="366E5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8AF15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3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094DA3">
            <w:pPr>
              <w:widowControl/>
              <w:jc w:val="center"/>
              <w:textAlignment w:val="center"/>
              <w:rPr>
                <w:rFonts w:hint="default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《元宇宙 大空间 参考模型》</w:t>
            </w:r>
          </w:p>
        </w:tc>
      </w:tr>
    </w:tbl>
    <w:p w14:paraId="4B8083D3">
      <w:pPr>
        <w:pStyle w:val="2"/>
        <w:jc w:val="center"/>
        <w:rPr>
          <w:rFonts w:hint="eastAsia" w:ascii="微软雅黑" w:hAnsi="微软雅黑" w:eastAsia="微软雅黑" w:cs="微软雅黑"/>
          <w:b/>
          <w:snapToGrid w:val="0"/>
          <w:kern w:val="0"/>
          <w:sz w:val="32"/>
          <w:szCs w:val="32"/>
          <w:lang w:val="en-US" w:eastAsia="zh-CN" w:bidi="ar-SA"/>
        </w:rPr>
      </w:pPr>
    </w:p>
    <w:p w14:paraId="0F822996">
      <w:pPr>
        <w:pStyle w:val="2"/>
        <w:jc w:val="center"/>
        <w:rPr>
          <w:rFonts w:hint="eastAsia" w:ascii="微软雅黑" w:hAnsi="微软雅黑" w:eastAsia="微软雅黑" w:cs="微软雅黑"/>
          <w:b/>
          <w:snapToGrid w:val="0"/>
          <w:kern w:val="0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snapToGrid w:val="0"/>
          <w:kern w:val="0"/>
          <w:sz w:val="32"/>
          <w:szCs w:val="32"/>
          <w:lang w:val="en-US" w:eastAsia="zh-CN" w:bidi="ar-SA"/>
        </w:rPr>
        <w:t>元宇宙标准首批验证单位：</w:t>
      </w:r>
    </w:p>
    <w:p w14:paraId="2B91AA9B">
      <w:pPr>
        <w:pStyle w:val="2"/>
        <w:jc w:val="center"/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（排名不分先后）</w:t>
      </w:r>
    </w:p>
    <w:tbl>
      <w:tblPr>
        <w:tblStyle w:val="8"/>
        <w:tblW w:w="773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2"/>
        <w:gridCol w:w="6589"/>
      </w:tblGrid>
      <w:tr w14:paraId="3D14A5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4" w:space="0"/>
              <w:right w:val="single" w:color="FFFFFF" w:sz="8" w:space="0"/>
            </w:tcBorders>
            <w:shd w:val="clear" w:color="auto" w:fill="4F81BD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73F82B"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FFFFFF"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color w:val="FFFFFF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4" w:space="0"/>
              <w:right w:val="single" w:color="FFFFFF" w:sz="8" w:space="0"/>
            </w:tcBorders>
            <w:shd w:val="clear" w:color="auto" w:fill="4F81BD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004F62">
            <w:pPr>
              <w:widowControl/>
              <w:jc w:val="center"/>
              <w:textAlignment w:val="center"/>
              <w:rPr>
                <w:rFonts w:hint="default" w:ascii="黑体" w:hAnsi="黑体" w:eastAsia="黑体" w:cs="黑体"/>
                <w:color w:val="FFFFFF"/>
                <w:kern w:val="0"/>
                <w:szCs w:val="21"/>
                <w:lang w:val="en-US" w:bidi="ar"/>
              </w:rPr>
            </w:pPr>
            <w:r>
              <w:rPr>
                <w:rFonts w:hint="eastAsia" w:ascii="黑体" w:hAnsi="黑体" w:eastAsia="黑体" w:cs="黑体"/>
                <w:color w:val="FFFFFF"/>
                <w:kern w:val="0"/>
                <w:szCs w:val="21"/>
                <w:lang w:val="en-US" w:eastAsia="zh-CN" w:bidi="ar"/>
              </w:rPr>
              <w:t>单位名称</w:t>
            </w:r>
          </w:p>
        </w:tc>
      </w:tr>
      <w:tr w14:paraId="3399C2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EE1B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C83A16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咪咕新空文化科技（厦门）有限公司</w:t>
            </w:r>
          </w:p>
        </w:tc>
      </w:tr>
      <w:tr w14:paraId="7B7F60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B3662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7BBD51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南京博物院</w:t>
            </w:r>
          </w:p>
        </w:tc>
      </w:tr>
      <w:tr w14:paraId="0636B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61152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3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9A308D">
            <w:pPr>
              <w:widowControl/>
              <w:jc w:val="center"/>
              <w:textAlignment w:val="center"/>
              <w:rPr>
                <w:rFonts w:hint="default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上海商汤智能科技有限公司</w:t>
            </w:r>
          </w:p>
        </w:tc>
      </w:tr>
      <w:tr w14:paraId="61EECE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2C0F2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4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8B5F58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北京新知元浪网络科技有限公司</w:t>
            </w:r>
          </w:p>
        </w:tc>
      </w:tr>
      <w:tr w14:paraId="08CF38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11D55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5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37093C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长江龙新媒体有限公司</w:t>
            </w:r>
          </w:p>
        </w:tc>
      </w:tr>
      <w:tr w14:paraId="7DE8F8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F668F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6B8886">
            <w:pPr>
              <w:widowControl/>
              <w:jc w:val="center"/>
              <w:textAlignment w:val="center"/>
              <w:rPr>
                <w:rFonts w:hint="default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清华大学</w:t>
            </w:r>
          </w:p>
        </w:tc>
      </w:tr>
      <w:tr w14:paraId="4328AD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5E82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7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4283D6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湖北紫荆未来科技有限公司</w:t>
            </w:r>
          </w:p>
        </w:tc>
      </w:tr>
      <w:tr w14:paraId="5C6D92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F6818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8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0384E6B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北京水木清青科技有限责任公司</w:t>
            </w:r>
          </w:p>
        </w:tc>
      </w:tr>
      <w:tr w14:paraId="5F7A9D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831AF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9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AD33CB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上海创享灵境视觉科技有限公司</w:t>
            </w:r>
          </w:p>
        </w:tc>
      </w:tr>
      <w:tr w14:paraId="2CD4FD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BB5E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0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2B161E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广西茜英信息技术有限公司‌</w:t>
            </w:r>
          </w:p>
        </w:tc>
      </w:tr>
      <w:tr w14:paraId="0B3384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4F1FF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11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64DF98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北京谷雨秋实商务科技有限公司</w:t>
            </w:r>
          </w:p>
        </w:tc>
      </w:tr>
      <w:tr w14:paraId="3B9A64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F029E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12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1E3A6F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北京广益集思智能科技有限公司</w:t>
            </w:r>
          </w:p>
        </w:tc>
      </w:tr>
      <w:tr w14:paraId="09899E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037216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13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E92672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中国科学院计算技术研究所</w:t>
            </w:r>
          </w:p>
        </w:tc>
      </w:tr>
      <w:tr w14:paraId="31B696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0752E8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14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A74554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中金金融认证中心有限公司</w:t>
            </w:r>
          </w:p>
        </w:tc>
      </w:tr>
      <w:tr w14:paraId="62A76F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3806B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15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967CD2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北京津发科技股份有限公司</w:t>
            </w:r>
          </w:p>
        </w:tc>
      </w:tr>
      <w:tr w14:paraId="7FBA12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ECA64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16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151A64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京奥电竞（北京）科技有限公司</w:t>
            </w:r>
          </w:p>
        </w:tc>
      </w:tr>
      <w:tr w14:paraId="1E1015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AE3F4" w:themeFill="accent1" w:themeFillTint="3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05D55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17</w:t>
            </w:r>
          </w:p>
        </w:tc>
        <w:tc>
          <w:tcPr>
            <w:tcW w:w="658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3E3E3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74FA7F"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  <w:lang w:val="en-US" w:eastAsia="zh-CN" w:bidi="ar"/>
              </w:rPr>
              <w:t>天下秀数字科技集团</w:t>
            </w:r>
          </w:p>
        </w:tc>
      </w:tr>
    </w:tbl>
    <w:p w14:paraId="014BBC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KSOFD8A28030">
    <w:panose1 w:val="020B0503020204020204"/>
    <w:charset w:val="86"/>
    <w:family w:val="auto"/>
    <w:pitch w:val="default"/>
    <w:sig w:usb0="00000001" w:usb1="00000000" w:usb2="00000000" w:usb3="00000000" w:csb0="00040001" w:csb1="00000000"/>
  </w:font>
  <w:font w:name="KSOFDA5758CF">
    <w:panose1 w:val="020B0703020204020201"/>
    <w:charset w:val="86"/>
    <w:family w:val="auto"/>
    <w:pitch w:val="default"/>
    <w:sig w:usb0="00000001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iMDI3YTRjZDJhMGVlY2E5NmQ0NGFjYTgzMjA2MWEifQ=="/>
  </w:docVars>
  <w:rsids>
    <w:rsidRoot w:val="00000000"/>
    <w:rsid w:val="000F6535"/>
    <w:rsid w:val="00A76622"/>
    <w:rsid w:val="02436043"/>
    <w:rsid w:val="0349587C"/>
    <w:rsid w:val="039B74AF"/>
    <w:rsid w:val="03C43926"/>
    <w:rsid w:val="03E531F1"/>
    <w:rsid w:val="04330FB9"/>
    <w:rsid w:val="05B21A3A"/>
    <w:rsid w:val="06007052"/>
    <w:rsid w:val="06E55096"/>
    <w:rsid w:val="071D4826"/>
    <w:rsid w:val="07D6476B"/>
    <w:rsid w:val="08030D7B"/>
    <w:rsid w:val="087D3A94"/>
    <w:rsid w:val="089F7EAE"/>
    <w:rsid w:val="08A76063"/>
    <w:rsid w:val="08D87811"/>
    <w:rsid w:val="099700EE"/>
    <w:rsid w:val="0B183F48"/>
    <w:rsid w:val="0B2A0675"/>
    <w:rsid w:val="0B46538C"/>
    <w:rsid w:val="0CFC77A4"/>
    <w:rsid w:val="0D052AB0"/>
    <w:rsid w:val="0D7A67F4"/>
    <w:rsid w:val="0DA466A2"/>
    <w:rsid w:val="0E21146C"/>
    <w:rsid w:val="0E591116"/>
    <w:rsid w:val="0E6229C0"/>
    <w:rsid w:val="0F4470B9"/>
    <w:rsid w:val="0FB037A9"/>
    <w:rsid w:val="10B87CFC"/>
    <w:rsid w:val="10F3685C"/>
    <w:rsid w:val="11902A8A"/>
    <w:rsid w:val="11906A07"/>
    <w:rsid w:val="11FD2A31"/>
    <w:rsid w:val="12814D69"/>
    <w:rsid w:val="12BF52F3"/>
    <w:rsid w:val="1313514B"/>
    <w:rsid w:val="13975069"/>
    <w:rsid w:val="140838EB"/>
    <w:rsid w:val="143A26E3"/>
    <w:rsid w:val="16094FB2"/>
    <w:rsid w:val="166254AF"/>
    <w:rsid w:val="16917566"/>
    <w:rsid w:val="16985734"/>
    <w:rsid w:val="1703549A"/>
    <w:rsid w:val="17E106B9"/>
    <w:rsid w:val="17FC2021"/>
    <w:rsid w:val="18266BCA"/>
    <w:rsid w:val="182D65B9"/>
    <w:rsid w:val="185C2924"/>
    <w:rsid w:val="18C0505C"/>
    <w:rsid w:val="1AD7149E"/>
    <w:rsid w:val="1B877235"/>
    <w:rsid w:val="1BCD48DA"/>
    <w:rsid w:val="1C0D4016"/>
    <w:rsid w:val="1C7C19CE"/>
    <w:rsid w:val="1D9B32C2"/>
    <w:rsid w:val="1DAD6A68"/>
    <w:rsid w:val="1DEF672A"/>
    <w:rsid w:val="1F8B7238"/>
    <w:rsid w:val="20A36C18"/>
    <w:rsid w:val="217B2A7C"/>
    <w:rsid w:val="21AF5E51"/>
    <w:rsid w:val="22253891"/>
    <w:rsid w:val="22507B26"/>
    <w:rsid w:val="23135718"/>
    <w:rsid w:val="24446149"/>
    <w:rsid w:val="245E4D4B"/>
    <w:rsid w:val="25E11776"/>
    <w:rsid w:val="263009BA"/>
    <w:rsid w:val="266B21A9"/>
    <w:rsid w:val="269A5A94"/>
    <w:rsid w:val="270F1104"/>
    <w:rsid w:val="27716B7B"/>
    <w:rsid w:val="2776288D"/>
    <w:rsid w:val="279C010A"/>
    <w:rsid w:val="27DC5671"/>
    <w:rsid w:val="2866303E"/>
    <w:rsid w:val="29546914"/>
    <w:rsid w:val="2A695165"/>
    <w:rsid w:val="2B2213F2"/>
    <w:rsid w:val="2BC31707"/>
    <w:rsid w:val="2BE617CC"/>
    <w:rsid w:val="2C3D33B6"/>
    <w:rsid w:val="2CEB527C"/>
    <w:rsid w:val="2D6E0FCB"/>
    <w:rsid w:val="2EFD4D88"/>
    <w:rsid w:val="2F406212"/>
    <w:rsid w:val="2F735768"/>
    <w:rsid w:val="31C47B6B"/>
    <w:rsid w:val="325E19B3"/>
    <w:rsid w:val="34D73CCE"/>
    <w:rsid w:val="34E019A5"/>
    <w:rsid w:val="356B1610"/>
    <w:rsid w:val="364D5399"/>
    <w:rsid w:val="37176720"/>
    <w:rsid w:val="373937A0"/>
    <w:rsid w:val="3750792D"/>
    <w:rsid w:val="38097DBA"/>
    <w:rsid w:val="381373B9"/>
    <w:rsid w:val="382A4C7F"/>
    <w:rsid w:val="382E3037"/>
    <w:rsid w:val="38A40D99"/>
    <w:rsid w:val="38CF2688"/>
    <w:rsid w:val="393B2577"/>
    <w:rsid w:val="394F6992"/>
    <w:rsid w:val="397C07C4"/>
    <w:rsid w:val="39B37205"/>
    <w:rsid w:val="39DC3E3F"/>
    <w:rsid w:val="3A561743"/>
    <w:rsid w:val="3A7909FE"/>
    <w:rsid w:val="3AB807D8"/>
    <w:rsid w:val="3B154769"/>
    <w:rsid w:val="3B954675"/>
    <w:rsid w:val="3C1D466B"/>
    <w:rsid w:val="3CEB6008"/>
    <w:rsid w:val="3D881776"/>
    <w:rsid w:val="3F2A73B9"/>
    <w:rsid w:val="3F3F41DD"/>
    <w:rsid w:val="3FEE7F68"/>
    <w:rsid w:val="40133308"/>
    <w:rsid w:val="4156743B"/>
    <w:rsid w:val="41996961"/>
    <w:rsid w:val="41E56DCD"/>
    <w:rsid w:val="42757194"/>
    <w:rsid w:val="434E48F9"/>
    <w:rsid w:val="45166389"/>
    <w:rsid w:val="456639C9"/>
    <w:rsid w:val="458D13A2"/>
    <w:rsid w:val="45C046FE"/>
    <w:rsid w:val="45C2075D"/>
    <w:rsid w:val="46ED3E6B"/>
    <w:rsid w:val="47D17347"/>
    <w:rsid w:val="482F551B"/>
    <w:rsid w:val="49A704BB"/>
    <w:rsid w:val="4A3D4E39"/>
    <w:rsid w:val="4AB91662"/>
    <w:rsid w:val="4ADD3943"/>
    <w:rsid w:val="4AE301E8"/>
    <w:rsid w:val="4B473790"/>
    <w:rsid w:val="4B774846"/>
    <w:rsid w:val="4BB927CA"/>
    <w:rsid w:val="4BDE6236"/>
    <w:rsid w:val="4BF107C7"/>
    <w:rsid w:val="4C0A4651"/>
    <w:rsid w:val="4C300C7C"/>
    <w:rsid w:val="4C52210E"/>
    <w:rsid w:val="4C9D4AF3"/>
    <w:rsid w:val="4FAF6B47"/>
    <w:rsid w:val="4FCF37D3"/>
    <w:rsid w:val="500D0F8C"/>
    <w:rsid w:val="50141E92"/>
    <w:rsid w:val="502B7796"/>
    <w:rsid w:val="50303C1D"/>
    <w:rsid w:val="50A72838"/>
    <w:rsid w:val="50DF2ABC"/>
    <w:rsid w:val="50E23A41"/>
    <w:rsid w:val="52123E85"/>
    <w:rsid w:val="530F48B5"/>
    <w:rsid w:val="53464EF5"/>
    <w:rsid w:val="557F03B3"/>
    <w:rsid w:val="557F21C6"/>
    <w:rsid w:val="558F51D5"/>
    <w:rsid w:val="56902FBF"/>
    <w:rsid w:val="572B451F"/>
    <w:rsid w:val="57D7403B"/>
    <w:rsid w:val="57E22340"/>
    <w:rsid w:val="5917342D"/>
    <w:rsid w:val="59265D69"/>
    <w:rsid w:val="59EC0196"/>
    <w:rsid w:val="59EF6B9D"/>
    <w:rsid w:val="5A392494"/>
    <w:rsid w:val="5A70032F"/>
    <w:rsid w:val="5B212D5D"/>
    <w:rsid w:val="5D2331A2"/>
    <w:rsid w:val="5D9C5FB0"/>
    <w:rsid w:val="5DB227E3"/>
    <w:rsid w:val="5E470538"/>
    <w:rsid w:val="5E5E0399"/>
    <w:rsid w:val="5EBE18BA"/>
    <w:rsid w:val="5F6F365E"/>
    <w:rsid w:val="5F7526CE"/>
    <w:rsid w:val="5FA57541"/>
    <w:rsid w:val="603B315E"/>
    <w:rsid w:val="62EC1ACC"/>
    <w:rsid w:val="63130260"/>
    <w:rsid w:val="633F33DC"/>
    <w:rsid w:val="635D5A35"/>
    <w:rsid w:val="63FB6B7E"/>
    <w:rsid w:val="643615D1"/>
    <w:rsid w:val="64434C52"/>
    <w:rsid w:val="65936139"/>
    <w:rsid w:val="65C23A09"/>
    <w:rsid w:val="66587D09"/>
    <w:rsid w:val="673C3AC4"/>
    <w:rsid w:val="680253B8"/>
    <w:rsid w:val="6915180B"/>
    <w:rsid w:val="69610797"/>
    <w:rsid w:val="69614533"/>
    <w:rsid w:val="699A504F"/>
    <w:rsid w:val="6AAD5E11"/>
    <w:rsid w:val="6ABF15AE"/>
    <w:rsid w:val="6B5D7577"/>
    <w:rsid w:val="6BCA5E66"/>
    <w:rsid w:val="6C334D13"/>
    <w:rsid w:val="6CB52712"/>
    <w:rsid w:val="6CC811E0"/>
    <w:rsid w:val="6D7221B9"/>
    <w:rsid w:val="6E8002D0"/>
    <w:rsid w:val="6FC0545D"/>
    <w:rsid w:val="6FE80822"/>
    <w:rsid w:val="7006087A"/>
    <w:rsid w:val="70314A76"/>
    <w:rsid w:val="70F52EE5"/>
    <w:rsid w:val="712D6B22"/>
    <w:rsid w:val="71CB3024"/>
    <w:rsid w:val="72540721"/>
    <w:rsid w:val="73486076"/>
    <w:rsid w:val="738B7978"/>
    <w:rsid w:val="73AF51C4"/>
    <w:rsid w:val="74715218"/>
    <w:rsid w:val="76AD25C4"/>
    <w:rsid w:val="78376848"/>
    <w:rsid w:val="787B40F4"/>
    <w:rsid w:val="79D130F4"/>
    <w:rsid w:val="79E65BEA"/>
    <w:rsid w:val="7A2C624E"/>
    <w:rsid w:val="7A403785"/>
    <w:rsid w:val="7A656D3A"/>
    <w:rsid w:val="7BDE224E"/>
    <w:rsid w:val="7C0F6C70"/>
    <w:rsid w:val="7C112482"/>
    <w:rsid w:val="7C4F43FE"/>
    <w:rsid w:val="7CB94386"/>
    <w:rsid w:val="7D000069"/>
    <w:rsid w:val="7ECF633C"/>
    <w:rsid w:val="7FA26D74"/>
    <w:rsid w:val="7FF07612"/>
    <w:rsid w:val="A661C88D"/>
    <w:rsid w:val="EDBC5D90"/>
    <w:rsid w:val="EFBBF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pPr>
      <w:spacing w:after="120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before="156" w:beforeLines="50"/>
      <w:ind w:firstLine="640" w:firstLineChars="200"/>
    </w:pPr>
    <w:rPr>
      <w:rFonts w:ascii="仿宋_GB2312" w:hAnsi="Times New Roman" w:eastAsia="仿宋_GB2312" w:cs="Times New Roman"/>
      <w:sz w:val="32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 2"/>
    <w:basedOn w:val="5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uiPriority w:val="0"/>
    <w:rPr>
      <w:color w:val="0000FF"/>
      <w:u w:val="single"/>
    </w:rPr>
  </w:style>
  <w:style w:type="character" w:styleId="12">
    <w:name w:val="annotation reference"/>
    <w:basedOn w:val="9"/>
    <w:qFormat/>
    <w:uiPriority w:val="0"/>
    <w:rPr>
      <w:sz w:val="21"/>
      <w:szCs w:val="21"/>
    </w:rPr>
  </w:style>
  <w:style w:type="paragraph" w:styleId="13">
    <w:name w:val="Intense Quote"/>
    <w:next w:val="1"/>
    <w:qFormat/>
    <w:uiPriority w:val="0"/>
    <w:pPr>
      <w:wordWrap w:val="0"/>
      <w:spacing w:before="360" w:after="360"/>
      <w:ind w:left="950" w:right="950"/>
      <w:jc w:val="center"/>
    </w:pPr>
    <w:rPr>
      <w:rFonts w:ascii="宋体" w:hAnsi="宋体" w:eastAsia="Times New Roman" w:cs="Times New Roman"/>
      <w:i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1748</Words>
  <Characters>1810</Characters>
  <Lines>0</Lines>
  <Paragraphs>0</Paragraphs>
  <TotalTime>7</TotalTime>
  <ScaleCrop>false</ScaleCrop>
  <LinksUpToDate>false</LinksUpToDate>
  <CharactersWithSpaces>1840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2024-09-09T17:29:00Z</dcterms:created>
  <dc:creator>MaxMao</dc:creator>
  <cp:lastModifiedBy>zwyk</cp:lastModifiedBy>
  <cp:lastPrinted>2026-03-25T03:46:00Z</cp:lastPrinted>
  <dcterms:modified xsi:type="dcterms:W3CDTF">2026-03-25T12:21:10Z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EE5B6262DF4A4A57B7BDDE41C1A9A9C2_13</vt:lpwstr>
  </property>
  <property fmtid="{D5CDD505-2E9C-101B-9397-08002B2CF9AE}" pid="4" name="KSOTemplateDocerSaveRecord">
    <vt:lpwstr>eyJoZGlkIjoiODJkMzYyMmI0MmE2YjA2Mjk1ZDFkYWU0MmFmMzVkMDIiLCJ1c2VySWQiOiIyODkxNjQ2NjkifQ==</vt:lpwstr>
  </property>
</Properties>
</file>