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35F54">
      <w:pPr>
        <w:adjustRightInd w:val="0"/>
        <w:snapToGrid w:val="0"/>
        <w:spacing w:line="560" w:lineRule="exact"/>
        <w:jc w:val="center"/>
        <w:rPr>
          <w:rFonts w:ascii="Times New Roman" w:hAnsi="Times New Roman" w:eastAsia="方正小标宋简体"/>
          <w:bCs/>
          <w:sz w:val="44"/>
          <w:szCs w:val="44"/>
          <w:u w:val="none"/>
        </w:rPr>
      </w:pPr>
      <w:r>
        <w:rPr>
          <w:rFonts w:ascii="Times New Roman" w:hAnsi="Times New Roman" w:eastAsia="方正小标宋简体"/>
          <w:bCs/>
          <w:sz w:val="44"/>
          <w:szCs w:val="44"/>
          <w:u w:val="none"/>
        </w:rPr>
        <w:t>2025年度“中国科学十大进展”</w:t>
      </w:r>
    </w:p>
    <w:p w14:paraId="0267743C">
      <w:pPr>
        <w:adjustRightInd w:val="0"/>
        <w:snapToGrid w:val="0"/>
        <w:spacing w:line="560" w:lineRule="exact"/>
        <w:jc w:val="center"/>
        <w:rPr>
          <w:rFonts w:ascii="Times New Roman" w:hAnsi="Times New Roman" w:eastAsia="方正小标宋简体"/>
          <w:bCs/>
          <w:sz w:val="44"/>
          <w:szCs w:val="44"/>
          <w:u w:val="none"/>
        </w:rPr>
      </w:pPr>
      <w:r>
        <w:rPr>
          <w:rFonts w:ascii="Times New Roman" w:hAnsi="Times New Roman" w:eastAsia="方正小标宋简体"/>
          <w:bCs/>
          <w:sz w:val="44"/>
          <w:szCs w:val="44"/>
          <w:u w:val="none"/>
        </w:rPr>
        <w:t>专家解读会新闻通稿</w:t>
      </w:r>
    </w:p>
    <w:p w14:paraId="63B5DC6E">
      <w:pPr>
        <w:adjustRightInd w:val="0"/>
        <w:snapToGrid w:val="0"/>
        <w:spacing w:line="560" w:lineRule="exact"/>
        <w:jc w:val="center"/>
        <w:rPr>
          <w:rFonts w:hint="eastAsia" w:ascii="方正小标宋简体" w:hAnsi="华文中宋" w:eastAsia="方正小标宋简体" w:cs="华文中宋"/>
          <w:bCs/>
          <w:sz w:val="44"/>
          <w:szCs w:val="44"/>
          <w:u w:val="none"/>
        </w:rPr>
      </w:pPr>
    </w:p>
    <w:p w14:paraId="78B84023">
      <w:pPr>
        <w:adjustRightInd w:val="0"/>
        <w:snapToGrid w:val="0"/>
        <w:spacing w:line="560" w:lineRule="exact"/>
        <w:jc w:val="center"/>
        <w:rPr>
          <w:rFonts w:hint="eastAsia" w:ascii="华文中宋" w:hAnsi="华文中宋" w:eastAsia="华文中宋" w:cs="华文中宋"/>
          <w:b/>
          <w:bCs/>
          <w:sz w:val="36"/>
          <w:szCs w:val="36"/>
          <w:u w:val="none"/>
        </w:rPr>
      </w:pPr>
      <w:r>
        <w:rPr>
          <w:rFonts w:hint="eastAsia" w:ascii="华文中宋" w:hAnsi="华文中宋" w:eastAsia="华文中宋" w:cs="华文中宋"/>
          <w:b/>
          <w:bCs/>
          <w:sz w:val="36"/>
          <w:szCs w:val="36"/>
          <w:u w:val="none"/>
        </w:rPr>
        <w:t>2025年度</w:t>
      </w:r>
      <w:bookmarkStart w:id="0" w:name="_Hlk157859634"/>
      <w:r>
        <w:rPr>
          <w:rFonts w:hint="eastAsia" w:ascii="华文中宋" w:hAnsi="华文中宋" w:eastAsia="华文中宋" w:cs="华文中宋"/>
          <w:b/>
          <w:bCs/>
          <w:sz w:val="36"/>
          <w:szCs w:val="36"/>
          <w:u w:val="none"/>
        </w:rPr>
        <w:t>“中国科学十大进展”</w:t>
      </w:r>
      <w:bookmarkEnd w:id="0"/>
      <w:r>
        <w:rPr>
          <w:rFonts w:hint="eastAsia" w:ascii="华文中宋" w:hAnsi="华文中宋" w:eastAsia="华文中宋" w:cs="华文中宋"/>
          <w:b/>
          <w:bCs/>
          <w:sz w:val="36"/>
          <w:szCs w:val="36"/>
          <w:u w:val="none"/>
        </w:rPr>
        <w:t>发布</w:t>
      </w:r>
    </w:p>
    <w:p w14:paraId="049819C1">
      <w:pPr>
        <w:adjustRightInd w:val="0"/>
        <w:snapToGrid w:val="0"/>
        <w:spacing w:line="560" w:lineRule="exact"/>
        <w:jc w:val="center"/>
        <w:rPr>
          <w:rFonts w:ascii="Times New Roman" w:hAnsi="Times New Roman" w:eastAsia="华文中宋"/>
          <w:b/>
          <w:bCs/>
          <w:sz w:val="32"/>
          <w:szCs w:val="32"/>
          <w:u w:val="none"/>
        </w:rPr>
      </w:pPr>
    </w:p>
    <w:p w14:paraId="4F817B65">
      <w:pPr>
        <w:adjustRightInd w:val="0"/>
        <w:snapToGrid w:val="0"/>
        <w:spacing w:line="560" w:lineRule="exact"/>
        <w:ind w:firstLine="640" w:firstLineChars="200"/>
        <w:rPr>
          <w:rFonts w:ascii="Times New Roman" w:hAnsi="Times New Roman" w:eastAsia="仿宋"/>
          <w:kern w:val="0"/>
          <w:sz w:val="32"/>
          <w:szCs w:val="32"/>
          <w:u w:val="none"/>
        </w:rPr>
      </w:pPr>
      <w:r>
        <w:rPr>
          <w:rFonts w:ascii="Times New Roman" w:hAnsi="Times New Roman" w:eastAsia="仿宋"/>
          <w:kern w:val="0"/>
          <w:sz w:val="32"/>
          <w:szCs w:val="32"/>
          <w:u w:val="none"/>
        </w:rPr>
        <w:t>202</w:t>
      </w:r>
      <w:r>
        <w:rPr>
          <w:rFonts w:hint="eastAsia" w:ascii="Times New Roman" w:hAnsi="Times New Roman" w:eastAsia="仿宋"/>
          <w:kern w:val="0"/>
          <w:sz w:val="32"/>
          <w:szCs w:val="32"/>
          <w:u w:val="none"/>
        </w:rPr>
        <w:t>6</w:t>
      </w:r>
      <w:r>
        <w:rPr>
          <w:rFonts w:ascii="Times New Roman" w:hAnsi="Times New Roman" w:eastAsia="仿宋"/>
          <w:kern w:val="0"/>
          <w:sz w:val="32"/>
          <w:szCs w:val="32"/>
          <w:u w:val="none"/>
        </w:rPr>
        <w:t>年</w:t>
      </w:r>
      <w:r>
        <w:rPr>
          <w:rFonts w:hint="eastAsia" w:ascii="Times New Roman" w:hAnsi="Times New Roman" w:eastAsia="仿宋"/>
          <w:kern w:val="0"/>
          <w:sz w:val="32"/>
          <w:szCs w:val="32"/>
          <w:u w:val="none"/>
        </w:rPr>
        <w:t>3</w:t>
      </w:r>
      <w:r>
        <w:rPr>
          <w:rFonts w:ascii="Times New Roman" w:hAnsi="Times New Roman" w:eastAsia="仿宋"/>
          <w:kern w:val="0"/>
          <w:sz w:val="32"/>
          <w:szCs w:val="32"/>
          <w:u w:val="none"/>
        </w:rPr>
        <w:t>月2</w:t>
      </w:r>
      <w:r>
        <w:rPr>
          <w:rFonts w:hint="eastAsia" w:ascii="Times New Roman" w:hAnsi="Times New Roman" w:eastAsia="仿宋"/>
          <w:kern w:val="0"/>
          <w:sz w:val="32"/>
          <w:szCs w:val="32"/>
          <w:u w:val="none"/>
        </w:rPr>
        <w:t>5</w:t>
      </w:r>
      <w:r>
        <w:rPr>
          <w:rFonts w:ascii="Times New Roman" w:hAnsi="Times New Roman" w:eastAsia="仿宋"/>
          <w:kern w:val="0"/>
          <w:sz w:val="32"/>
          <w:szCs w:val="32"/>
          <w:u w:val="none"/>
        </w:rPr>
        <w:t>日，</w:t>
      </w:r>
      <w:r>
        <w:rPr>
          <w:rFonts w:hint="eastAsia" w:ascii="Times New Roman" w:hAnsi="Times New Roman" w:eastAsia="仿宋"/>
          <w:kern w:val="0"/>
          <w:sz w:val="32"/>
          <w:szCs w:val="32"/>
          <w:u w:val="none"/>
        </w:rPr>
        <w:t>国家自然科学基金委员会</w:t>
      </w:r>
      <w:r>
        <w:rPr>
          <w:rFonts w:ascii="Times New Roman" w:hAnsi="Times New Roman" w:eastAsia="仿宋"/>
          <w:kern w:val="0"/>
          <w:sz w:val="32"/>
          <w:szCs w:val="32"/>
          <w:u w:val="none"/>
        </w:rPr>
        <w:t>党组书记、</w:t>
      </w:r>
      <w:r>
        <w:rPr>
          <w:rFonts w:ascii="Times New Roman" w:hAnsi="Times New Roman" w:eastAsia="仿宋"/>
          <w:kern w:val="0"/>
          <w:sz w:val="32"/>
          <w:szCs w:val="32"/>
          <w:u w:val="none" w:color="FFFFFF"/>
          <w:shd w:val="clear"/>
        </w:rPr>
        <w:t>主任窦贤康</w:t>
      </w:r>
      <w:r>
        <w:rPr>
          <w:rFonts w:ascii="Times New Roman" w:hAnsi="Times New Roman" w:eastAsia="仿宋"/>
          <w:kern w:val="0"/>
          <w:sz w:val="32"/>
          <w:szCs w:val="32"/>
          <w:u w:val="none"/>
        </w:rPr>
        <w:t>在2026中关村论坛年会开幕式上发布了202</w:t>
      </w:r>
      <w:r>
        <w:rPr>
          <w:rFonts w:hint="eastAsia" w:ascii="Times New Roman" w:hAnsi="Times New Roman" w:eastAsia="仿宋"/>
          <w:kern w:val="0"/>
          <w:sz w:val="32"/>
          <w:szCs w:val="32"/>
          <w:u w:val="none"/>
        </w:rPr>
        <w:t>5</w:t>
      </w:r>
      <w:r>
        <w:rPr>
          <w:rFonts w:ascii="Times New Roman" w:hAnsi="Times New Roman" w:eastAsia="仿宋"/>
          <w:kern w:val="0"/>
          <w:sz w:val="32"/>
          <w:szCs w:val="32"/>
          <w:u w:val="none"/>
        </w:rPr>
        <w:t>年度</w:t>
      </w:r>
      <w:r>
        <w:rPr>
          <w:rFonts w:hint="eastAsia" w:ascii="Times New Roman" w:hAnsi="Times New Roman" w:eastAsia="仿宋"/>
          <w:kern w:val="0"/>
          <w:sz w:val="32"/>
          <w:szCs w:val="32"/>
          <w:u w:val="none"/>
        </w:rPr>
        <w:t>“中国科学十大进展”，分别是：嫦娥六号样品首次揭示月背演化历史和巨型撞击效应、创新方法实现规模化制备柔性超平金刚石薄膜、可控核聚变大科学装置实现“亿度”运行、发现神经酰胺受体和菌源调控物及其在心血管与代谢性疾病中的作用、基因编辑猪肝植入人体突破跨物种器官移植壁垒、炎性衰老机制解析与多维靶向干预、深渊海沟最深处发现繁盛的化能合成生物群落、全功能二维半导体/硅基混合架构异质集成闪存芯片、实现基于熔盐堆的钍铀核燃料转换、界面调控新方法创制面向空天应用的高性能柔性叠层太阳能电池。</w:t>
      </w:r>
    </w:p>
    <w:p w14:paraId="3567B51F">
      <w:pPr>
        <w:adjustRightInd w:val="0"/>
        <w:snapToGrid w:val="0"/>
        <w:spacing w:line="560" w:lineRule="exact"/>
        <w:ind w:firstLine="640" w:firstLineChars="200"/>
        <w:rPr>
          <w:rFonts w:ascii="Times New Roman" w:hAnsi="Times New Roman" w:eastAsia="仿宋"/>
          <w:kern w:val="0"/>
          <w:sz w:val="32"/>
          <w:szCs w:val="32"/>
          <w:u w:val="none"/>
        </w:rPr>
      </w:pPr>
      <w:r>
        <w:rPr>
          <w:rFonts w:hint="eastAsia" w:ascii="Times New Roman" w:hAnsi="Times New Roman" w:eastAsia="仿宋"/>
          <w:kern w:val="0"/>
          <w:sz w:val="32"/>
          <w:szCs w:val="32"/>
          <w:u w:val="none"/>
        </w:rPr>
        <w:t>“中国科学十大进展”遴选活动坚持“四个面向”的战略导向，宣传我国基础研究取得的重要进展，激励广大科研人员</w:t>
      </w:r>
      <w:r>
        <w:rPr>
          <w:rFonts w:hint="eastAsia" w:ascii="Times New Roman" w:hAnsi="Times New Roman" w:eastAsia="仿宋"/>
          <w:sz w:val="32"/>
          <w:szCs w:val="32"/>
          <w:u w:val="none"/>
        </w:rPr>
        <w:t>勇攀科学高峰、产出更多原创性成果；推动基础研究科学普及，促进公众对基</w:t>
      </w:r>
      <w:bookmarkStart w:id="1" w:name="_GoBack"/>
      <w:bookmarkEnd w:id="1"/>
      <w:r>
        <w:rPr>
          <w:rFonts w:hint="eastAsia" w:ascii="Times New Roman" w:hAnsi="Times New Roman" w:eastAsia="仿宋"/>
          <w:sz w:val="32"/>
          <w:szCs w:val="32"/>
          <w:u w:val="none"/>
        </w:rPr>
        <w:t>础研究的了解、关心和支持。</w:t>
      </w:r>
    </w:p>
    <w:p w14:paraId="669C4186">
      <w:pPr>
        <w:adjustRightInd w:val="0"/>
        <w:snapToGrid w:val="0"/>
        <w:spacing w:line="560" w:lineRule="exact"/>
        <w:ind w:firstLine="640" w:firstLineChars="200"/>
        <w:rPr>
          <w:rFonts w:ascii="Times New Roman" w:hAnsi="Times New Roman" w:eastAsia="仿宋"/>
          <w:sz w:val="32"/>
          <w:szCs w:val="32"/>
          <w:u w:val="none"/>
        </w:rPr>
      </w:pPr>
      <w:r>
        <w:rPr>
          <w:rFonts w:hint="eastAsia" w:ascii="Times New Roman" w:hAnsi="Times New Roman" w:eastAsia="仿宋"/>
          <w:kern w:val="0"/>
          <w:sz w:val="32"/>
          <w:szCs w:val="32"/>
          <w:u w:val="none"/>
        </w:rPr>
        <w:t>该活动自2005年启动以来，已成功举办21届，成为展示我国基础研究年度重要进展的品牌活动。</w:t>
      </w:r>
    </w:p>
    <w:p w14:paraId="4675EF36">
      <w:pPr>
        <w:adjustRightInd w:val="0"/>
        <w:snapToGrid w:val="0"/>
        <w:spacing w:line="560" w:lineRule="exact"/>
        <w:ind w:firstLine="640" w:firstLineChars="200"/>
        <w:rPr>
          <w:rFonts w:ascii="Times New Roman" w:hAnsi="Times New Roman" w:eastAsia="仿宋"/>
          <w:sz w:val="32"/>
          <w:szCs w:val="32"/>
          <w:u w:val="none"/>
        </w:rPr>
      </w:pPr>
      <w:r>
        <w:rPr>
          <w:rFonts w:hint="eastAsia" w:ascii="Times New Roman" w:hAnsi="Times New Roman" w:eastAsia="仿宋"/>
          <w:kern w:val="0"/>
          <w:sz w:val="32"/>
          <w:szCs w:val="32"/>
          <w:u w:val="none"/>
        </w:rPr>
        <w:t>2</w:t>
      </w:r>
      <w:r>
        <w:rPr>
          <w:rFonts w:ascii="Times New Roman" w:hAnsi="Times New Roman" w:eastAsia="仿宋"/>
          <w:kern w:val="0"/>
          <w:sz w:val="32"/>
          <w:szCs w:val="32"/>
          <w:u w:val="none"/>
        </w:rPr>
        <w:t>02</w:t>
      </w:r>
      <w:r>
        <w:rPr>
          <w:rFonts w:hint="eastAsia" w:ascii="Times New Roman" w:hAnsi="Times New Roman" w:eastAsia="仿宋"/>
          <w:kern w:val="0"/>
          <w:sz w:val="32"/>
          <w:szCs w:val="32"/>
          <w:u w:val="none"/>
        </w:rPr>
        <w:t>5年度“中国科学十大进展”遴选活动（第21届）由国家自然科学基金委员会主办，国家自然科学基金委员会高技术研究发展中心（国家自然科学基金委员会基础研究管理中心）承办，</w:t>
      </w:r>
      <w:r>
        <w:rPr>
          <w:rFonts w:ascii="Times New Roman" w:hAnsi="Times New Roman" w:eastAsia="仿宋"/>
          <w:sz w:val="32"/>
          <w:szCs w:val="32"/>
          <w:u w:val="none"/>
        </w:rPr>
        <w:t>分为推荐、初选、终选</w:t>
      </w:r>
      <w:r>
        <w:rPr>
          <w:rFonts w:hint="eastAsia" w:ascii="Times New Roman" w:hAnsi="Times New Roman" w:eastAsia="仿宋"/>
          <w:sz w:val="32"/>
          <w:szCs w:val="32"/>
          <w:u w:val="none"/>
        </w:rPr>
        <w:t>和</w:t>
      </w:r>
      <w:r>
        <w:rPr>
          <w:rFonts w:ascii="Times New Roman" w:hAnsi="Times New Roman" w:eastAsia="仿宋"/>
          <w:sz w:val="32"/>
          <w:szCs w:val="32"/>
          <w:u w:val="none" w:color="FFFFFF"/>
          <w:shd w:val="clear"/>
        </w:rPr>
        <w:t>审议</w:t>
      </w:r>
      <w:r>
        <w:rPr>
          <w:rFonts w:hint="eastAsia" w:ascii="Times New Roman" w:hAnsi="Times New Roman" w:eastAsia="仿宋"/>
          <w:sz w:val="32"/>
          <w:szCs w:val="32"/>
          <w:u w:val="none"/>
        </w:rPr>
        <w:t>四个</w:t>
      </w:r>
      <w:r>
        <w:rPr>
          <w:rFonts w:ascii="Times New Roman" w:hAnsi="Times New Roman" w:eastAsia="仿宋"/>
          <w:sz w:val="32"/>
          <w:szCs w:val="32"/>
          <w:u w:val="none"/>
        </w:rPr>
        <w:t>环节。</w:t>
      </w:r>
      <w:r>
        <w:rPr>
          <w:rFonts w:hint="eastAsia" w:ascii="Times New Roman" w:hAnsi="Times New Roman" w:eastAsia="仿宋"/>
          <w:kern w:val="0"/>
          <w:sz w:val="32"/>
          <w:szCs w:val="32"/>
          <w:u w:val="none"/>
        </w:rPr>
        <w:t>《中国基础科学》《科技导报》《中国科学院院刊》《中国科学基金》《科学通报》5家编辑部以及教育部相关部门</w:t>
      </w:r>
      <w:r>
        <w:rPr>
          <w:rFonts w:ascii="Times New Roman" w:hAnsi="Times New Roman" w:eastAsia="仿宋"/>
          <w:sz w:val="32"/>
          <w:szCs w:val="32"/>
          <w:u w:val="none"/>
        </w:rPr>
        <w:t>推荐了</w:t>
      </w:r>
      <w:r>
        <w:rPr>
          <w:rFonts w:hint="eastAsia" w:ascii="Times New Roman" w:hAnsi="Times New Roman" w:eastAsia="仿宋"/>
          <w:sz w:val="32"/>
          <w:szCs w:val="32"/>
          <w:u w:val="none"/>
        </w:rPr>
        <w:t>6</w:t>
      </w:r>
      <w:r>
        <w:rPr>
          <w:rFonts w:ascii="Times New Roman" w:hAnsi="Times New Roman" w:eastAsia="仿宋"/>
          <w:sz w:val="32"/>
          <w:szCs w:val="32"/>
          <w:u w:val="none"/>
        </w:rPr>
        <w:t>00</w:t>
      </w:r>
      <w:r>
        <w:rPr>
          <w:rFonts w:hint="eastAsia" w:ascii="Times New Roman" w:hAnsi="Times New Roman" w:eastAsia="仿宋"/>
          <w:sz w:val="32"/>
          <w:szCs w:val="32"/>
          <w:u w:val="none"/>
        </w:rPr>
        <w:t>多</w:t>
      </w:r>
      <w:r>
        <w:rPr>
          <w:rFonts w:ascii="Times New Roman" w:hAnsi="Times New Roman" w:eastAsia="仿宋"/>
          <w:sz w:val="32"/>
          <w:szCs w:val="32"/>
          <w:u w:val="none"/>
        </w:rPr>
        <w:t>项</w:t>
      </w:r>
      <w:r>
        <w:rPr>
          <w:rFonts w:hint="eastAsia" w:ascii="Times New Roman" w:hAnsi="Times New Roman" w:eastAsia="仿宋"/>
          <w:sz w:val="32"/>
          <w:szCs w:val="32"/>
          <w:u w:val="none"/>
        </w:rPr>
        <w:t>基础</w:t>
      </w:r>
      <w:r>
        <w:rPr>
          <w:rFonts w:ascii="Times New Roman" w:hAnsi="Times New Roman" w:eastAsia="仿宋"/>
          <w:sz w:val="32"/>
          <w:szCs w:val="32"/>
          <w:u w:val="none"/>
        </w:rPr>
        <w:t>研究</w:t>
      </w:r>
      <w:r>
        <w:rPr>
          <w:rFonts w:hint="eastAsia" w:ascii="Times New Roman" w:hAnsi="Times New Roman" w:eastAsia="仿宋"/>
          <w:sz w:val="32"/>
          <w:szCs w:val="32"/>
          <w:u w:val="none"/>
        </w:rPr>
        <w:t>进展；初选由15</w:t>
      </w:r>
      <w:r>
        <w:rPr>
          <w:rFonts w:ascii="Times New Roman" w:hAnsi="Times New Roman" w:eastAsia="仿宋"/>
          <w:sz w:val="32"/>
          <w:szCs w:val="32"/>
          <w:u w:val="none"/>
        </w:rPr>
        <w:t>0</w:t>
      </w:r>
      <w:r>
        <w:rPr>
          <w:rFonts w:hint="eastAsia" w:ascii="Times New Roman" w:hAnsi="Times New Roman" w:eastAsia="仿宋"/>
          <w:sz w:val="32"/>
          <w:szCs w:val="32"/>
          <w:u w:val="none"/>
        </w:rPr>
        <w:t>余位相关</w:t>
      </w:r>
      <w:r>
        <w:rPr>
          <w:rFonts w:ascii="Times New Roman" w:hAnsi="Times New Roman" w:eastAsia="仿宋"/>
          <w:sz w:val="32"/>
          <w:szCs w:val="32"/>
          <w:u w:val="none"/>
        </w:rPr>
        <w:t>学科</w:t>
      </w:r>
      <w:r>
        <w:rPr>
          <w:rFonts w:hint="eastAsia" w:ascii="Times New Roman" w:hAnsi="Times New Roman" w:eastAsia="仿宋"/>
          <w:sz w:val="32"/>
          <w:szCs w:val="32"/>
          <w:u w:val="none"/>
        </w:rPr>
        <w:t>领域</w:t>
      </w:r>
      <w:r>
        <w:rPr>
          <w:rFonts w:ascii="Times New Roman" w:hAnsi="Times New Roman" w:eastAsia="仿宋"/>
          <w:sz w:val="32"/>
          <w:szCs w:val="32"/>
          <w:u w:val="none"/>
        </w:rPr>
        <w:t>专家</w:t>
      </w:r>
      <w:r>
        <w:rPr>
          <w:rFonts w:hint="eastAsia" w:ascii="Times New Roman" w:hAnsi="Times New Roman" w:eastAsia="仿宋"/>
          <w:sz w:val="32"/>
          <w:szCs w:val="32"/>
          <w:u w:val="none"/>
        </w:rPr>
        <w:t>学者</w:t>
      </w:r>
      <w:r>
        <w:rPr>
          <w:rFonts w:ascii="Times New Roman" w:hAnsi="Times New Roman" w:eastAsia="仿宋"/>
          <w:sz w:val="32"/>
          <w:szCs w:val="32"/>
          <w:u w:val="none"/>
        </w:rPr>
        <w:t>遴选出3</w:t>
      </w:r>
      <w:r>
        <w:rPr>
          <w:rFonts w:hint="eastAsia" w:ascii="Times New Roman" w:hAnsi="Times New Roman" w:eastAsia="仿宋"/>
          <w:sz w:val="32"/>
          <w:szCs w:val="32"/>
          <w:u w:val="none"/>
        </w:rPr>
        <w:t>0</w:t>
      </w:r>
      <w:r>
        <w:rPr>
          <w:rFonts w:ascii="Times New Roman" w:hAnsi="Times New Roman" w:eastAsia="仿宋"/>
          <w:sz w:val="32"/>
          <w:szCs w:val="32"/>
          <w:u w:val="none"/>
        </w:rPr>
        <w:t>项</w:t>
      </w:r>
      <w:r>
        <w:rPr>
          <w:rFonts w:hint="eastAsia" w:ascii="Times New Roman" w:hAnsi="Times New Roman" w:eastAsia="仿宋"/>
          <w:sz w:val="32"/>
          <w:szCs w:val="32"/>
          <w:u w:val="none"/>
        </w:rPr>
        <w:t>候选进展，终选经包括48</w:t>
      </w:r>
      <w:r>
        <w:rPr>
          <w:rFonts w:ascii="Times New Roman" w:hAnsi="Times New Roman" w:eastAsia="仿宋"/>
          <w:sz w:val="32"/>
          <w:szCs w:val="32"/>
          <w:u w:val="none"/>
        </w:rPr>
        <w:t>0</w:t>
      </w:r>
      <w:r>
        <w:rPr>
          <w:rFonts w:hint="eastAsia" w:ascii="Times New Roman" w:hAnsi="Times New Roman" w:eastAsia="仿宋"/>
          <w:sz w:val="32"/>
          <w:szCs w:val="32"/>
          <w:u w:val="none"/>
        </w:rPr>
        <w:t>余位两院院士在内的30</w:t>
      </w:r>
      <w:r>
        <w:rPr>
          <w:rFonts w:ascii="Times New Roman" w:hAnsi="Times New Roman" w:eastAsia="仿宋"/>
          <w:sz w:val="32"/>
          <w:szCs w:val="32"/>
          <w:u w:val="none"/>
        </w:rPr>
        <w:t>00</w:t>
      </w:r>
      <w:r>
        <w:rPr>
          <w:rFonts w:hint="eastAsia" w:ascii="Times New Roman" w:hAnsi="Times New Roman" w:eastAsia="仿宋"/>
          <w:sz w:val="32"/>
          <w:szCs w:val="32"/>
          <w:u w:val="none"/>
        </w:rPr>
        <w:t>余位专家学者</w:t>
      </w:r>
      <w:r>
        <w:rPr>
          <w:rFonts w:ascii="Times New Roman" w:hAnsi="Times New Roman" w:eastAsia="仿宋"/>
          <w:sz w:val="32"/>
          <w:szCs w:val="32"/>
          <w:u w:val="none"/>
        </w:rPr>
        <w:t>对</w:t>
      </w:r>
      <w:r>
        <w:rPr>
          <w:rFonts w:hint="eastAsia" w:ascii="Times New Roman" w:hAnsi="Times New Roman" w:eastAsia="仿宋"/>
          <w:sz w:val="32"/>
          <w:szCs w:val="32"/>
          <w:u w:val="none"/>
        </w:rPr>
        <w:t>这</w:t>
      </w:r>
      <w:r>
        <w:rPr>
          <w:rFonts w:ascii="Times New Roman" w:hAnsi="Times New Roman" w:eastAsia="仿宋"/>
          <w:sz w:val="32"/>
          <w:szCs w:val="32"/>
          <w:u w:val="none"/>
        </w:rPr>
        <w:t>3</w:t>
      </w:r>
      <w:r>
        <w:rPr>
          <w:rFonts w:hint="eastAsia" w:ascii="Times New Roman" w:hAnsi="Times New Roman" w:eastAsia="仿宋"/>
          <w:sz w:val="32"/>
          <w:szCs w:val="32"/>
          <w:u w:val="none"/>
        </w:rPr>
        <w:t>0</w:t>
      </w:r>
      <w:r>
        <w:rPr>
          <w:rFonts w:ascii="Times New Roman" w:hAnsi="Times New Roman" w:eastAsia="仿宋"/>
          <w:sz w:val="32"/>
          <w:szCs w:val="32"/>
          <w:u w:val="none"/>
        </w:rPr>
        <w:t>项</w:t>
      </w:r>
      <w:r>
        <w:rPr>
          <w:rFonts w:hint="eastAsia" w:ascii="Times New Roman" w:hAnsi="Times New Roman" w:eastAsia="仿宋"/>
          <w:sz w:val="32"/>
          <w:szCs w:val="32"/>
          <w:u w:val="none"/>
        </w:rPr>
        <w:t>候选进展网络实名</w:t>
      </w:r>
      <w:r>
        <w:rPr>
          <w:rFonts w:ascii="Times New Roman" w:hAnsi="Times New Roman" w:eastAsia="仿宋"/>
          <w:sz w:val="32"/>
          <w:szCs w:val="32"/>
          <w:u w:val="none"/>
        </w:rPr>
        <w:t>投票</w:t>
      </w:r>
      <w:r>
        <w:rPr>
          <w:rFonts w:hint="eastAsia" w:ascii="Times New Roman" w:hAnsi="Times New Roman" w:eastAsia="仿宋"/>
          <w:sz w:val="32"/>
          <w:szCs w:val="32"/>
          <w:u w:val="none"/>
        </w:rPr>
        <w:t>，遴选出</w:t>
      </w:r>
      <w:r>
        <w:rPr>
          <w:rFonts w:ascii="Times New Roman" w:hAnsi="Times New Roman" w:eastAsia="仿宋"/>
          <w:sz w:val="32"/>
          <w:szCs w:val="32"/>
          <w:u w:val="none"/>
        </w:rPr>
        <w:t>10</w:t>
      </w:r>
      <w:r>
        <w:rPr>
          <w:rFonts w:hint="eastAsia" w:ascii="Times New Roman" w:hAnsi="Times New Roman" w:eastAsia="仿宋"/>
          <w:sz w:val="32"/>
          <w:szCs w:val="32"/>
          <w:u w:val="none"/>
        </w:rPr>
        <w:t>项进展；经</w:t>
      </w:r>
      <w:r>
        <w:rPr>
          <w:rFonts w:hint="eastAsia" w:ascii="Times New Roman" w:hAnsi="Times New Roman" w:eastAsia="仿宋"/>
          <w:kern w:val="0"/>
          <w:sz w:val="32"/>
          <w:szCs w:val="32"/>
          <w:u w:val="none"/>
        </w:rPr>
        <w:t>国家自然科学基金委员会咨询委员会</w:t>
      </w:r>
      <w:r>
        <w:rPr>
          <w:rFonts w:hint="eastAsia" w:ascii="Times New Roman" w:hAnsi="Times New Roman" w:eastAsia="仿宋"/>
          <w:sz w:val="32"/>
          <w:szCs w:val="32"/>
          <w:u w:val="none" w:color="FFFFFF"/>
          <w:shd w:val="clear"/>
        </w:rPr>
        <w:t>审议</w:t>
      </w:r>
      <w:r>
        <w:rPr>
          <w:rFonts w:hint="eastAsia" w:ascii="Times New Roman" w:hAnsi="Times New Roman" w:eastAsia="仿宋"/>
          <w:sz w:val="32"/>
          <w:szCs w:val="32"/>
          <w:u w:val="none"/>
        </w:rPr>
        <w:t>，最终确定</w:t>
      </w:r>
      <w:r>
        <w:rPr>
          <w:rFonts w:ascii="Times New Roman" w:hAnsi="Times New Roman" w:eastAsia="仿宋"/>
          <w:sz w:val="32"/>
          <w:szCs w:val="32"/>
          <w:u w:val="none"/>
        </w:rPr>
        <w:t>202</w:t>
      </w:r>
      <w:r>
        <w:rPr>
          <w:rFonts w:hint="eastAsia" w:ascii="Times New Roman" w:hAnsi="Times New Roman" w:eastAsia="仿宋"/>
          <w:sz w:val="32"/>
          <w:szCs w:val="32"/>
          <w:u w:val="none"/>
        </w:rPr>
        <w:t>5</w:t>
      </w:r>
      <w:r>
        <w:rPr>
          <w:rFonts w:ascii="Times New Roman" w:hAnsi="Times New Roman" w:eastAsia="仿宋"/>
          <w:sz w:val="32"/>
          <w:szCs w:val="32"/>
          <w:u w:val="none"/>
        </w:rPr>
        <w:t>年度</w:t>
      </w:r>
      <w:r>
        <w:rPr>
          <w:rFonts w:hint="eastAsia" w:ascii="Times New Roman" w:hAnsi="Times New Roman" w:eastAsia="仿宋"/>
          <w:sz w:val="32"/>
          <w:szCs w:val="32"/>
          <w:u w:val="none"/>
        </w:rPr>
        <w:t>“</w:t>
      </w:r>
      <w:r>
        <w:rPr>
          <w:rFonts w:ascii="Times New Roman" w:hAnsi="Times New Roman" w:eastAsia="仿宋"/>
          <w:sz w:val="32"/>
          <w:szCs w:val="32"/>
          <w:u w:val="none"/>
        </w:rPr>
        <w:t>中国科学十大进展</w:t>
      </w:r>
      <w:r>
        <w:rPr>
          <w:rFonts w:hint="eastAsia" w:ascii="Times New Roman" w:hAnsi="Times New Roman" w:eastAsia="仿宋"/>
          <w:sz w:val="32"/>
          <w:szCs w:val="32"/>
          <w:u w:val="none"/>
        </w:rPr>
        <w:t>”</w:t>
      </w:r>
      <w:r>
        <w:rPr>
          <w:rFonts w:ascii="Times New Roman" w:hAnsi="Times New Roman" w:eastAsia="仿宋"/>
          <w:sz w:val="32"/>
          <w:szCs w:val="32"/>
          <w:u w:val="none"/>
        </w:rPr>
        <w:t>。</w:t>
      </w:r>
    </w:p>
    <w:sectPr>
      <w:footerReference r:id="rId5" w:type="default"/>
      <w:footerReference r:id="rId6" w:type="even"/>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1156304"/>
    </w:sdtPr>
    <w:sdtEndPr>
      <w:rPr>
        <w:rFonts w:ascii="Times New Roman" w:hAnsi="Times New Roman"/>
        <w:sz w:val="24"/>
        <w:szCs w:val="24"/>
      </w:rPr>
    </w:sdtEndPr>
    <w:sdtContent>
      <w:p w14:paraId="1CC45659">
        <w:pPr>
          <w:pStyle w:val="4"/>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3</w:t>
        </w:r>
        <w:r>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055173"/>
    </w:sdtPr>
    <w:sdtContent>
      <w:p w14:paraId="04BC4074">
        <w:pPr>
          <w:pStyle w:val="4"/>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p>
    </w:sdtContent>
  </w:sdt>
  <w:p w14:paraId="45014E3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dit="readOnly"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hZWRiMjIxNzkyMjA2OTkwZGVkYzU2ZmY0MjU2NzYifQ=="/>
  </w:docVars>
  <w:rsids>
    <w:rsidRoot w:val="00482A08"/>
    <w:rsid w:val="000025F9"/>
    <w:rsid w:val="000101B7"/>
    <w:rsid w:val="00032028"/>
    <w:rsid w:val="00032189"/>
    <w:rsid w:val="000352E7"/>
    <w:rsid w:val="0003658E"/>
    <w:rsid w:val="00037E9E"/>
    <w:rsid w:val="000533D7"/>
    <w:rsid w:val="0005793F"/>
    <w:rsid w:val="0006571D"/>
    <w:rsid w:val="00066765"/>
    <w:rsid w:val="000804BB"/>
    <w:rsid w:val="000C5C3F"/>
    <w:rsid w:val="000C6C39"/>
    <w:rsid w:val="000C7F82"/>
    <w:rsid w:val="000D38DA"/>
    <w:rsid w:val="000E49D0"/>
    <w:rsid w:val="00105DB2"/>
    <w:rsid w:val="00130A98"/>
    <w:rsid w:val="00152BF8"/>
    <w:rsid w:val="00155E16"/>
    <w:rsid w:val="00185544"/>
    <w:rsid w:val="001928B6"/>
    <w:rsid w:val="001A4E93"/>
    <w:rsid w:val="001D2F8A"/>
    <w:rsid w:val="001D5D3A"/>
    <w:rsid w:val="001E36DA"/>
    <w:rsid w:val="001E4B58"/>
    <w:rsid w:val="001F44D8"/>
    <w:rsid w:val="002151BC"/>
    <w:rsid w:val="00217666"/>
    <w:rsid w:val="00224808"/>
    <w:rsid w:val="0023109E"/>
    <w:rsid w:val="002312D6"/>
    <w:rsid w:val="00237EAF"/>
    <w:rsid w:val="00270CEA"/>
    <w:rsid w:val="00277966"/>
    <w:rsid w:val="00283563"/>
    <w:rsid w:val="002A425F"/>
    <w:rsid w:val="002A429D"/>
    <w:rsid w:val="002D63AF"/>
    <w:rsid w:val="002E1763"/>
    <w:rsid w:val="002E22A9"/>
    <w:rsid w:val="002E446F"/>
    <w:rsid w:val="002E49EA"/>
    <w:rsid w:val="002E5472"/>
    <w:rsid w:val="002E750E"/>
    <w:rsid w:val="002E7BC7"/>
    <w:rsid w:val="002F20DF"/>
    <w:rsid w:val="003347EA"/>
    <w:rsid w:val="00341582"/>
    <w:rsid w:val="00351748"/>
    <w:rsid w:val="003576CA"/>
    <w:rsid w:val="00385891"/>
    <w:rsid w:val="00391EBB"/>
    <w:rsid w:val="00392404"/>
    <w:rsid w:val="003C541B"/>
    <w:rsid w:val="003D6E88"/>
    <w:rsid w:val="003D7657"/>
    <w:rsid w:val="003F1E95"/>
    <w:rsid w:val="004044DF"/>
    <w:rsid w:val="00435AD4"/>
    <w:rsid w:val="00452188"/>
    <w:rsid w:val="00453CF0"/>
    <w:rsid w:val="00481AD3"/>
    <w:rsid w:val="00482A08"/>
    <w:rsid w:val="00490F93"/>
    <w:rsid w:val="004B23F8"/>
    <w:rsid w:val="004B6A9D"/>
    <w:rsid w:val="005033F6"/>
    <w:rsid w:val="00507046"/>
    <w:rsid w:val="005117E4"/>
    <w:rsid w:val="00524551"/>
    <w:rsid w:val="005249D4"/>
    <w:rsid w:val="005358A0"/>
    <w:rsid w:val="00552DFD"/>
    <w:rsid w:val="005627FE"/>
    <w:rsid w:val="005A0B3D"/>
    <w:rsid w:val="005C57E3"/>
    <w:rsid w:val="005C615B"/>
    <w:rsid w:val="005D61B8"/>
    <w:rsid w:val="005D6692"/>
    <w:rsid w:val="005D71B1"/>
    <w:rsid w:val="005E7B10"/>
    <w:rsid w:val="005F1880"/>
    <w:rsid w:val="006174A4"/>
    <w:rsid w:val="00620810"/>
    <w:rsid w:val="00625170"/>
    <w:rsid w:val="00656BE5"/>
    <w:rsid w:val="00660996"/>
    <w:rsid w:val="00661B2C"/>
    <w:rsid w:val="00670AB0"/>
    <w:rsid w:val="006727F8"/>
    <w:rsid w:val="006870C5"/>
    <w:rsid w:val="00687440"/>
    <w:rsid w:val="006A2578"/>
    <w:rsid w:val="006A7606"/>
    <w:rsid w:val="006C78D4"/>
    <w:rsid w:val="006F1FFB"/>
    <w:rsid w:val="006F6174"/>
    <w:rsid w:val="00703290"/>
    <w:rsid w:val="00705FEE"/>
    <w:rsid w:val="007138E3"/>
    <w:rsid w:val="0072093A"/>
    <w:rsid w:val="00721C46"/>
    <w:rsid w:val="00731616"/>
    <w:rsid w:val="0073392A"/>
    <w:rsid w:val="00736E23"/>
    <w:rsid w:val="007527D1"/>
    <w:rsid w:val="0076060B"/>
    <w:rsid w:val="00760CCD"/>
    <w:rsid w:val="00763194"/>
    <w:rsid w:val="007A0966"/>
    <w:rsid w:val="007B05DB"/>
    <w:rsid w:val="007D1664"/>
    <w:rsid w:val="007D3219"/>
    <w:rsid w:val="007F7835"/>
    <w:rsid w:val="00806AEA"/>
    <w:rsid w:val="008128FA"/>
    <w:rsid w:val="00816DD8"/>
    <w:rsid w:val="00832419"/>
    <w:rsid w:val="008348AE"/>
    <w:rsid w:val="00835224"/>
    <w:rsid w:val="0084510F"/>
    <w:rsid w:val="00855797"/>
    <w:rsid w:val="00874B1F"/>
    <w:rsid w:val="008A050E"/>
    <w:rsid w:val="008D76E5"/>
    <w:rsid w:val="008E08C9"/>
    <w:rsid w:val="008E0A18"/>
    <w:rsid w:val="008F06FF"/>
    <w:rsid w:val="00926FB2"/>
    <w:rsid w:val="00934B5F"/>
    <w:rsid w:val="00936FBB"/>
    <w:rsid w:val="00952EB0"/>
    <w:rsid w:val="009540DA"/>
    <w:rsid w:val="00960BB4"/>
    <w:rsid w:val="00970510"/>
    <w:rsid w:val="00977E9B"/>
    <w:rsid w:val="00985716"/>
    <w:rsid w:val="009A7375"/>
    <w:rsid w:val="009C0BEE"/>
    <w:rsid w:val="009C13E6"/>
    <w:rsid w:val="009C29F7"/>
    <w:rsid w:val="009C384A"/>
    <w:rsid w:val="009C3A21"/>
    <w:rsid w:val="009E1B55"/>
    <w:rsid w:val="009F0930"/>
    <w:rsid w:val="00A1393E"/>
    <w:rsid w:val="00A602AE"/>
    <w:rsid w:val="00A61B42"/>
    <w:rsid w:val="00A94134"/>
    <w:rsid w:val="00AB03F4"/>
    <w:rsid w:val="00AC6BD3"/>
    <w:rsid w:val="00AD60DE"/>
    <w:rsid w:val="00AD7858"/>
    <w:rsid w:val="00AE5D3A"/>
    <w:rsid w:val="00AF250F"/>
    <w:rsid w:val="00B00BF8"/>
    <w:rsid w:val="00B04120"/>
    <w:rsid w:val="00B10869"/>
    <w:rsid w:val="00B42D12"/>
    <w:rsid w:val="00B54810"/>
    <w:rsid w:val="00B63041"/>
    <w:rsid w:val="00B8513A"/>
    <w:rsid w:val="00BA5926"/>
    <w:rsid w:val="00BC7FF4"/>
    <w:rsid w:val="00BE41F4"/>
    <w:rsid w:val="00BF0C18"/>
    <w:rsid w:val="00C01F55"/>
    <w:rsid w:val="00C03663"/>
    <w:rsid w:val="00C03930"/>
    <w:rsid w:val="00C078E0"/>
    <w:rsid w:val="00C10120"/>
    <w:rsid w:val="00C101B9"/>
    <w:rsid w:val="00C16A76"/>
    <w:rsid w:val="00C35953"/>
    <w:rsid w:val="00C51BE1"/>
    <w:rsid w:val="00C530BA"/>
    <w:rsid w:val="00C64429"/>
    <w:rsid w:val="00C8294E"/>
    <w:rsid w:val="00C94E1F"/>
    <w:rsid w:val="00CA58F3"/>
    <w:rsid w:val="00CB0E89"/>
    <w:rsid w:val="00CE2CB2"/>
    <w:rsid w:val="00D0066C"/>
    <w:rsid w:val="00D05973"/>
    <w:rsid w:val="00D07757"/>
    <w:rsid w:val="00D10A2A"/>
    <w:rsid w:val="00D30C1F"/>
    <w:rsid w:val="00D42271"/>
    <w:rsid w:val="00D51F6D"/>
    <w:rsid w:val="00D647AB"/>
    <w:rsid w:val="00DA1C3E"/>
    <w:rsid w:val="00DA36EC"/>
    <w:rsid w:val="00DB7D8F"/>
    <w:rsid w:val="00DC4187"/>
    <w:rsid w:val="00DC63FD"/>
    <w:rsid w:val="00DE6F13"/>
    <w:rsid w:val="00E050B3"/>
    <w:rsid w:val="00E11CDB"/>
    <w:rsid w:val="00E13D9B"/>
    <w:rsid w:val="00E14AA2"/>
    <w:rsid w:val="00E1706F"/>
    <w:rsid w:val="00E20C97"/>
    <w:rsid w:val="00E61B72"/>
    <w:rsid w:val="00E63DAC"/>
    <w:rsid w:val="00E7159F"/>
    <w:rsid w:val="00E75B18"/>
    <w:rsid w:val="00E77BE5"/>
    <w:rsid w:val="00E8518F"/>
    <w:rsid w:val="00E87CEE"/>
    <w:rsid w:val="00EA1C8D"/>
    <w:rsid w:val="00EA2C8B"/>
    <w:rsid w:val="00EC689E"/>
    <w:rsid w:val="00EF6686"/>
    <w:rsid w:val="00F1213D"/>
    <w:rsid w:val="00F2311C"/>
    <w:rsid w:val="00F27F89"/>
    <w:rsid w:val="00F30B9B"/>
    <w:rsid w:val="00F60BF4"/>
    <w:rsid w:val="00F9322D"/>
    <w:rsid w:val="00F945EC"/>
    <w:rsid w:val="00F97EE4"/>
    <w:rsid w:val="00FA3921"/>
    <w:rsid w:val="00FC20A9"/>
    <w:rsid w:val="00FC43F2"/>
    <w:rsid w:val="00FC5BB5"/>
    <w:rsid w:val="00FF7AE2"/>
    <w:rsid w:val="01B666C0"/>
    <w:rsid w:val="03771073"/>
    <w:rsid w:val="04E35A1E"/>
    <w:rsid w:val="100662A8"/>
    <w:rsid w:val="1879058E"/>
    <w:rsid w:val="20494339"/>
    <w:rsid w:val="2D5C5ABE"/>
    <w:rsid w:val="343B4D4B"/>
    <w:rsid w:val="3BFF0F8A"/>
    <w:rsid w:val="3E180BEC"/>
    <w:rsid w:val="41BC1F64"/>
    <w:rsid w:val="41CB0265"/>
    <w:rsid w:val="4BE19154"/>
    <w:rsid w:val="4C9B5B6F"/>
    <w:rsid w:val="552731C4"/>
    <w:rsid w:val="5A6355E1"/>
    <w:rsid w:val="5BB3478F"/>
    <w:rsid w:val="63655E93"/>
    <w:rsid w:val="6432443E"/>
    <w:rsid w:val="65FA6CD3"/>
    <w:rsid w:val="6DE40A08"/>
    <w:rsid w:val="6F7E4010"/>
    <w:rsid w:val="70CE5026"/>
    <w:rsid w:val="7CC44080"/>
    <w:rsid w:val="DFFFB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character" w:styleId="9">
    <w:name w:val="Strong"/>
    <w:basedOn w:val="8"/>
    <w:qFormat/>
    <w:uiPriority w:val="22"/>
    <w:rPr>
      <w:b/>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rFonts w:ascii="Calibri" w:hAnsi="Calibri" w:eastAsia="宋体" w:cs="Times New Roman"/>
      <w:sz w:val="18"/>
      <w:szCs w:val="18"/>
    </w:rPr>
  </w:style>
  <w:style w:type="character" w:customStyle="1" w:styleId="12">
    <w:name w:val="页脚 字符"/>
    <w:basedOn w:val="8"/>
    <w:link w:val="4"/>
    <w:qFormat/>
    <w:uiPriority w:val="99"/>
    <w:rPr>
      <w:rFonts w:ascii="Calibri" w:hAnsi="Calibri" w:eastAsia="宋体" w:cs="Times New Roman"/>
      <w:sz w:val="18"/>
      <w:szCs w:val="18"/>
    </w:rPr>
  </w:style>
  <w:style w:type="character" w:customStyle="1" w:styleId="13">
    <w:name w:val="批注框文本 字符"/>
    <w:basedOn w:val="8"/>
    <w:link w:val="3"/>
    <w:semiHidden/>
    <w:qFormat/>
    <w:uiPriority w:val="99"/>
    <w:rPr>
      <w:rFonts w:ascii="Calibri" w:hAnsi="Calibri" w:eastAsia="宋体" w:cs="Times New Roman"/>
      <w:kern w:val="2"/>
      <w:sz w:val="18"/>
      <w:szCs w:val="18"/>
    </w:rPr>
  </w:style>
  <w:style w:type="paragraph" w:customStyle="1" w:styleId="14">
    <w:name w:val="修订1"/>
    <w:hidden/>
    <w:semiHidden/>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15">
    <w:name w:val="Revision"/>
    <w:hidden/>
    <w:unhideWhenUsed/>
    <w:qFormat/>
    <w:uiPriority w:val="99"/>
    <w:pPr>
      <w:spacing w:after="0" w:line="240" w:lineRule="auto"/>
    </w:pPr>
    <w:rPr>
      <w:rFonts w:ascii="Calibri" w:hAnsi="Calibri" w:eastAsia="宋体" w:cs="Times New Roman"/>
      <w:kern w:val="2"/>
      <w:sz w:val="21"/>
      <w:szCs w:val="24"/>
      <w:lang w:val="en-US" w:eastAsia="zh-CN" w:bidi="ar-SA"/>
    </w:rPr>
  </w:style>
  <w:style w:type="character" w:customStyle="1" w:styleId="16">
    <w:name w:val="批注文字 字符"/>
    <w:basedOn w:val="8"/>
    <w:link w:val="2"/>
    <w:semiHidden/>
    <w:qFormat/>
    <w:uiPriority w:val="99"/>
    <w:rPr>
      <w:rFonts w:ascii="Calibri" w:hAnsi="Calibri"/>
      <w:kern w:val="2"/>
      <w:sz w:val="21"/>
      <w:szCs w:val="24"/>
    </w:rPr>
  </w:style>
  <w:style w:type="character" w:customStyle="1" w:styleId="17">
    <w:name w:val="批注主题 字符"/>
    <w:basedOn w:val="16"/>
    <w:link w:val="6"/>
    <w:semiHidden/>
    <w:qFormat/>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785</Words>
  <Characters>824</Characters>
  <Lines>19</Lines>
  <Paragraphs>6</Paragraphs>
  <TotalTime>5</TotalTime>
  <ScaleCrop>false</ScaleCrop>
  <LinksUpToDate>false</LinksUpToDate>
  <CharactersWithSpaces>824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2026-03-25T03:47:00Z</dcterms:created>
  <dc:creator>qi-wei zhang</dc:creator>
  <cp:lastModifiedBy>xll</cp:lastModifiedBy>
  <cp:lastPrinted>2026-03-19T07:40:00Z</cp:lastPrinted>
  <dcterms:modified xsi:type="dcterms:W3CDTF">2026-03-25T05:24:14Z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A7790490E534A5960948B9698E396E80_43</vt:lpwstr>
  </property>
  <property fmtid="{D5CDD505-2E9C-101B-9397-08002B2CF9AE}" pid="4"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752","errorWord":"主任","length":2,"majorClass":"文字提醒","majorClassCode":"E001","manufacturer":"方正","manufacturerCode":"funz","offset":75,"originalText":null,"reason":"领导人职务检查：窦贤康-中央委员会候补委员、科技部党组成员","rightWord":null,"source":"","tagEndIndex":77,"tagStartIndex":75,"zuobian":74,"youbian":76,"colorCode":255,"color":"#ce3e31","zksq":"收起","position":"第1页第7行    ","gaichi":"主任 → null            (方正)","gaichi1":" → ","suggest":{"ignore":true,"modify":false,"showSug":false,"showReason":true,"sug":""},"errorType":"2026年3月25日，国家自然科学基金委员会党组书记、主任窦贤康在2026中关村论坛年会开幕式上发布了2025年度“中国科学十大进展”，分别是：嫦娥六号样品首次揭示月背演化历史和巨型撞击效应、创新方法实现规模化制备柔性超平金刚石薄膜、可控核聚变大科学装置实现“亿度”运行、发现神经酰胺受体和菌源调控物及其在心血管与代谢性疾病中的作用、基因编辑猪肝植入人体突破跨物种器官移植壁垒、炎性衰老机制解析与多维靶向干预、深渊海沟最深处发现繁盛的化能合成生物群落、全功能二维半导体/硅基混合架构异质集成闪存芯片、实现基于熔盐堆的钍铀核燃料转换、界面调控新方法创制面向空天应用的高性能柔性叠层太阳能电池。\r","xuanzhongindex":false,"xuanzhongone":true,"oid":"keyfocus0","proofreadLogId":null,"errorInfo":"国家自然科学基金委员会党组书记、&lt;em&gt;主任&lt;/em&gt;窦贤康在2026中关村论坛年会开幕式上发布了2025年度“中国科学十大进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752","errorWord":"主任","length":2,"majorClass":"文字提醒","majorClassCode":"E001","manufacturer":"方正","manufacturerCode":"funz","offset":75,"originalText":null,"reason":"领导人职务检查：窦贤康-中央委员会候补委员、科技部党组成员","rightWord":null,"source":"","tagEndIndex":77,"tagStartIndex":75,"zuobian":74,"youbian":76,"colorCode":255,"color":"#ce3e31","zksq":"收起","position":"第1页第7行    ","gaichi":"主任 → null            (方正)","gaichi1":" → ","suggest":{"ignore":true,"modify":false,"showSug":false,"showReason":true,"sug":""},"errorType":"2026年3月25日，国家自然科学基金委员会党组书记、主任窦贤康在2026中关村论坛年会开幕式上发布了2025年度“中国科学十大进展”，分别是：嫦娥六号样品首次揭示月背演化历史和巨型撞击效应、创新方法实现规模化制备柔性超平金刚石薄膜、可控核聚变大科学装置实现“亿度”运行、发现神经酰胺受体和菌源调控物及其在心血管与代谢性疾病中的作用、基因编辑猪肝植入人体突破跨物种器官移植壁垒、炎性衰老机制解析与多维靶向干预、深渊海沟最深处发现繁盛的化能合成生物群落、全功能二维半导体/硅基混合架构异质集成闪存芯片、实现基于熔盐堆的钍铀核燃料转换、界面调控新方法创制面向空天应用的高性能柔性叠层太阳能电池。\r","xuanzhongindex":false,"xuanzhongone":true,"oid":"keyfocus0","proofreadLogId":null,"errorInfo":"国家自然科学基金委员会党组书记、&lt;em&gt;主任&lt;/em&gt;窦贤康在2026中关村论坛年会开幕式上发布了2025年度“中国科学十大进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752","errorWord":"主任","length":2,"majorClass":"文字提醒","majorClassCode":"E001","manufacturer":"方正","manufacturerCode":"funz","offset":75,"originalText":null,"reason":"领导人职务检查：窦贤康-中央委员会候补委员、科技部党组成员","rightWord":null,"source":"","tagEndIndex":77,"tagStartIndex":75,"zuobian":74,"youbian":76,"colorCode":255,"color":"#ce3e31","zksq":"收起","position":"第1页第7行    ","gaichi":"主任 → null            (方正)","gaichi1":" → ","suggest":{"ignore":true,"modify":false,"showSug":false,"showReason":true,"sug":""},"errorType":"2026年3月25日，国家自然科学基金委员会党组书记、主任窦贤康在2026中关村论坛年会开幕式上发布了2025年度“中国科学十大进展”，分别是：嫦娥六号样品首次揭示月背演化历史和巨型撞击效应、创新方法实现规模化制备柔性超平金刚石薄膜、可控核聚变大科学装置实现“亿度”运行、发现神经酰胺受体和菌源调控物及其在心血管与代谢性疾病中的作用、基因编辑猪肝植入人体突破跨物种器官移植壁垒、炎性衰老机制解析与多维靶向干预、深渊海沟最深处发现繁盛的化能合成生物群落、全功能二维半导体/硅基混合架构异质集成闪存芯片、实现基于熔盐堆的钍铀核燃料转换、界面调控新方法创制面向空天应用的高性能柔性叠层太阳能电池。\r","xuanzhongindex":false,"xuanzhongone":true,"oid":"keyfocus0","proofreadLogId":null,"errorInfo":"国家自然科学基金委员会党组书记、&lt;em&gt;主任&lt;/em&gt;窦贤康在2026中关村论坛年会开幕式上发布了2025年度“中国科学十大进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773","errorWord":"窦贤康","length":3,"majorClass":"重要领导","majorClassCode":"E002","manufacturer":"方正","manufacturerCode":"funz","offset":77,"originalText":null,"reason":"提及领导人","rightWord":null,"source":"敏感词类型：提及领导人；","tagEndIndex":80,"tagStartIndex":77,"zuobian":76,"youbian":79,"colorCode":16711680,"color":"#3e81e7","zksq":"收起","position":"第1页第7行    ","gaichi":"窦贤康 → null            (方正)","gaichi1":" → ","suggest":{"ignore":true,"modify":false,"showSug":false,"showReason":true,"sug":""},"errorType":"2026年3月25日，国家自然科学基金委员会党组书记、主任窦贤康在2026中关村论坛年会开幕式上发布了2025年度“中国科学十大进展”，分别是：嫦娥六号样品首次揭示月背演化历史和巨型撞击效应、创新方法实现规模化制备柔性超平金刚石薄膜、可控核聚变大科学装置实现“亿度”运行、发现神经酰胺受体和菌源调控物及其在心血管与代谢性疾病中的作用、基因编辑猪肝植入人体突破跨物种器官移植壁垒、炎性衰老机制解析与多维靶向干预、深渊海沟最深处发现繁盛的化能合成生物群落、全功能二维半导体/硅基混合架构异质集成闪存芯片、实现基于熔盐堆的钍铀核燃料转换、界面调控新方法创制面向空天应用的高性能柔性叠层太阳能电池。\r","xuanzhongindex":false,"xuanzhongone":true,"oid":"keyfocus0","proofreadLogId":null,"errorInfo":"国家自然科学基金委员会党组书记、主任&lt;orange&gt;窦贤康&lt;/orange&gt;在2026中关村论坛年会开幕式上发布了2025年度“中国科学十大进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773","errorWord":"窦贤康","length":3,"majorClass":"重要领导","majorClassCode":"E002","manufacturer":"方正","manufacturerCode":"funz","offset":77,"originalText":null,"reason":"提及领导人","rightWord":null,"source":"敏感词类型：提及领导人；","tagEndIndex":80,"tagStartIndex":77,"zuobian":76,"youbian":79,"colorCode":16711680,"color":"#3e81e7","zksq":"收起","position":"第1页第7行    ","gaichi":"窦贤康 → null            (方正)","gaichi1":" → ","suggest":{"ignore":true,"modify":false,"showSug":false,"showReason":true,"sug":""},"errorType":"2026年3月25日，国家自然科学基金委员会党组书记、主任窦贤康在2026中关村论坛年会开幕式上发布了2025年度“中国科学十大进展”，分别是：嫦娥六号样品首次揭示月背演化历史和巨型撞击效应、创新方法实现规模化制备柔性超平金刚石薄膜、可控核聚变大科学装置实现“亿度”运行、发现神经酰胺受体和菌源调控物及其在心血管与代谢性疾病中的作用、基因编辑猪肝植入人体突破跨物种器官移植壁垒、炎性衰老机制解析与多维靶向干预、深渊海沟最深处发现繁盛的化能合成生物群落、全功能二维半导体/硅基混合架构异质集成闪存芯片、实现基于熔盐堆的钍铀核燃料转换、界面调控新方法创制面向空天应用的高性能柔性叠层太阳能电池。\r","xuanzhongindex":false,"xuanzhongone":true,"oid":"keyfocus0","proofreadLogId":null,"errorInfo":"国家自然科学基金委员会党组书记、主任&lt;orange&gt;窦贤康&lt;/orange&gt;在2026中关村论坛年会开幕式上发布了2025年度“中国科学十大进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773","errorWord":"窦贤康","length":3,"majorClass":"重要领导","majorClassCode":"E002","manufacturer":"方正","manufacturerCode":"funz","offset":77,"originalText":null,"reason":"提及领导人","rightWord":null,"source":"敏感词类型：提及领导人；","tagEndIndex":80,"tagStartIndex":77,"zuobian":76,"youbian":79,"colorCode":16711680,"color":"#3e81e7","zksq":"收起","position":"第1页第7行    ","gaichi":"窦贤康 → null            (方正)","gaichi1":" → ","suggest":{"ignore":true,"modify":false,"showSug":false,"showReason":true,"sug":""},"errorType":"2026年3月25日，国家自然科学基金委员会党组书记、主任窦贤康在2026中关村论坛年会开幕式上发布了2025年度“中国科学十大进展”，分别是：嫦娥六号样品首次揭示月背演化历史和巨型撞击效应、创新方法实现规模化制备柔性超平金刚石薄膜、可控核聚变大科学装置实现“亿度”运行、发现神经酰胺受体和菌源调控物及其在心血管与代谢性疾病中的作用、基因编辑猪肝植入人体突破跨物种器官移植壁垒、炎性衰老机制解析与多维靶向干预、深渊海沟最深处发现繁盛的化能合成生物群落、全功能二维半导体/硅基混合架构异质集成闪存芯片、实现基于熔盐堆的钍铀核燃料转换、界面调控新方法创制面向空天应用的高性能柔性叠层太阳能电池。\r","xuanzhongindex":false,"xuanzhongone":true,"oid":"keyfocus0","proofreadLogId":null,"errorInfo":"国家自然科学基金委员会党组书记、主任&lt;orange&gt;窦贤康&lt;/orange&gt;在2026中关村论坛年会开幕式上发布了2025年度“中国科学十大进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3646","errorWord":"习近平总书记","length":6,"majorClass":"重要领导","majorClassCode":"E002","manufacturer":"方正","manufacturerCode":"funz","offset":364,"originalText":null,"reason":"提及领导人：敏感词类型：提及领导人（出自外接词库-人民日报社）","rightWord":"最常用的表述（在外事等特殊场合需做具体调整）","source":"敏感词类型：提及领导人（出自外接词库-人民日报社）","tagEndIndex":370,"tagStartIndex":364,"zuobian":363,"youbian":369,"colorCode":16711680,"color":"#3e81e7","zksq":"收起","position":"第1页第18行    ","gaichi":"习近平总书记 → 最常用的表述（在外事等特殊场合需做具体调整）            (方正)","gaichi1":" → ","suggest":{"ignore":true,"modify":false,"showSug":false,"showReason":true,"sug":""},"errorType":"“中国科学十大进展”遴选活动旨在深入贯彻习近平总书记关于科技创新的重要论述，特别是对国家自然科学基金委员会工作作出的重要指示精神，坚持“四个面向”的战略导向，宣传我国基础研究取得的重要进展，激励广大科研人员勇攀科学高峰、产出更多原创性成果；推动基础研究科学普及，促进公众对基础研究的了解、关心和支持。\r","xuanzhongindex":false,"xuanzhongone":true,"oid":"keyfocus0","proofreadLogId":null,"errorInfo":"“中国科学十大进展”遴选活动旨在深入贯彻&lt;cm&gt;习近平总书记&lt;/cm&gt;关于科技创新的重要论述，特别是对国家自然科学基金委员会工作作出的重要指示精神，坚持“四个面向”的战略导向，宣传我国基础研究取得的重要进展，激励广大科研人员勇攀科学高峰、产出更多原创性成果；推动基础研究科学普及，促进公众对基础研究的了解、关心和支持。","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3646","errorWord":"习近平总书记","length":6,"majorClass":"重要领导","majorClassCode":"E002","manufacturer":"方正","manufacturerCode":"funz","offset":364,"originalText":null,"reason":"提及领导人：敏感词类型：提及领导人（出自外接词库-人民日报社）","rightWord":"最常用的表述（在外事等特殊场合需做具体调整）","source":"敏感词类型：提及领导人（出自外接词库-人民日报社）","tagEndIndex":370,"tagStartIndex":364,"zuobian":363,"youbian":369,"colorCode":16711680,"color":"#3e81e7","zksq":"收起","position":"第1页第18行    ","gaichi":"习近平总书记 → 最常用的表述（在外事等特殊场合需做具体调整）            (方正)","gaichi1":" → ","suggest":{"ignore":true,"modify":false,"showSug":false,"showReason":true,"sug":""},"errorType":"“中国科学十大进展”遴选活动旨在深入贯彻习近平总书记关于科技创新的重要论述，特别是对国家自然科学基金委员会工作作出的重要指示精神，坚持“四个面向”的战略导向，宣传我国基础研究取得的重要进展，激励广大科研人员勇攀科学高峰、产出更多原创性成果；推动基础研究科学普及，促进公众对基础研究的了解、关心和支持。\r","xuanzhongindex":false,"xuanzhongone":true,"oid":"keyfocus0","proofreadLogId":null,"errorInfo":"“中国科学十大进展”遴选活动旨在深入贯彻&lt;cm&gt;习近平总书记&lt;/cm&gt;关于科技创新的重要论述，特别是对国家自然科学基金委员会工作作出的重要指示精神，坚持“四个面向”的战略导向，宣传我国基础研究取得的重要进展，激励广大科研人员勇攀科学高峰、产出更多原创性成果；推动基础研究科学普及，促进公众对基础研究的了解、关心和支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3646","errorWord":"习近平总书记","length":6,"majorClass":"重要领导","majorClassCode":"E002","manufacturer":"方正","manufacturerCode":"funz","offset":364,"originalText":null,"reason":"提及领导人：敏感词类型：提及领导人（出自外接词库-人民日报社）","rightWord":"最常用的表述（在外事等特殊场合需做具体调整）","source":"敏感词类型：提及领导人（出自外接词库-人民日报社）","tagEndIndex":370,"tagStartIndex":364,"zuobian":363,"youbian":369,"colorCode":16711680,"color":"#3e81e7","zksq":"收起","position":"第1页第18行    ","gaichi":"习近平总书记 → 最常用的表述（在外事等特殊场合需做具体调整）            (方正)","gaichi1":" → ","suggest":{"ignore":true,"modify":false,"showSug":false,"showReason":true,"sug":""},"errorType":"“中国科学十大进展”遴选活动旨在深入贯彻习近平总书记关于科技创新的重要论述，特别是对国家自然科学基金委员会工作作出的重要指示精神，坚持“四个面向”的战略导向，宣传我国基础研究取得的重要进展，激励广大科研人员勇攀科学高峰、产出更多原创性成果；推动基础研究科学普及，促进公众对基础研究的了解、关心和支持。\r","xuanzhongindex":false,"xuanzhongone":true,"oid":"keyfocus0","proofreadLogId":null,"errorInfo":"“中国科学十大进展”遴选活动旨在深入贯彻&lt;cm&gt;习近平总书记&lt;/cm&gt;关于科技创新的重要论述，特别是对国家自然科学基金委员会工作作出的重要指示精神，坚持“四个面向”的战略导向，宣传我国基础研究取得的重要进展，激励广大科研人员勇攀科学高峰、产出更多原创性成果；推动基础研究科学普及，促进公众对基础研究的了解、关心和支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4017","errorWord":"的重要指示精神","length":7,"majorClass":"文字提醒","majorClassCode":"E001","manufacturer":"方正","manufacturerCode":"funz","offset":401,"originalText":null,"reason":"重点词检查","rightWord":"习近平总书记的重要指示精神","source":"","tagEndIndex":408,"tagStartIndex":401,"zuobian":400,"youbian":407,"colorCode":255,"color":"#ce3e31","zksq":"收起","position":"第1页第20行    ","gaichi":"的重要指示精神 → 习近平总书记的重要指示精神            (方正)","gaichi1":" → ","suggest":{"ignore":true,"modify":false,"showSug":false,"showReason":true,"sug":""},"errorType":"“中国科学十大进展”遴选活动旨在深入贯彻习近平总书记关于科技创新的重要论述，特别是对国家自然科学基金委员会工作作出的重要指示精神，坚持“四个面向”的战略导向，宣传我国基础研究取得的重要进展，激励广大科研人员勇攀科学高峰、产出更多原创性成果；推动基础研究科学普及，促进公众对基础研究的了解、关心和支持。\r","xuanzhongindex":false,"xuanzhongone":true,"oid":"keyfocus0","proofreadLogId":null,"errorInfo":"进展”遴选活动旨在深入贯彻习近平总书记关于科技创新的重要论述，特别是对国家自然科学基金委员会工作作出&lt;em&gt;的重要指示精神&lt;/em&gt;，坚持“四个面向”的战略导向，宣传我国基础研究取得的重要进展，激励广大科研人员勇攀科学高峰、产出更多原创性成果；推动基础研究科学普及，促进公众对基础研究的了解、关心和支持。","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4017","errorWord":"的重要指示精神","length":7,"majorClass":"文字提醒","majorClassCode":"E001","manufacturer":"方正","manufacturerCode":"funz","offset":401,"originalText":null,"reason":"重点词检查","rightWord":"习近平总书记的重要指示精神","source":"","tagEndIndex":408,"tagStartIndex":401,"zuobian":400,"youbian":407,"colorCode":255,"color":"#ce3e31","zksq":"收起","position":"第1页第20行    ","gaichi":"的重要指示精神 → 习近平总书记的重要指示精神            (方正)","gaichi1":" → ","suggest":{"ignore":true,"modify":false,"showSug":false,"showReason":true,"sug":""},"errorType":"“中国科学十大进展”遴选活动旨在深入贯彻习近平总书记关于科技创新的重要论述，特别是对国家自然科学基金委员会工作作出的重要指示精神，坚持“四个面向”的战略导向，宣传我国基础研究取得的重要进展，激励广大科研人员勇攀科学高峰、产出更多原创性成果；推动基础研究科学普及，促进公众对基础研究的了解、关心和支持。\r","xuanzhongindex":false,"xuanzhongone":true,"oid":"keyfocus0","proofreadLogId":null,"errorInfo":"进展”遴选活动旨在深入贯彻习近平总书记关于科技创新的重要论述，特别是对国家自然科学基金委员会工作作出&lt;em&gt;的重要指示精神&lt;/em&gt;，坚持“四个面向”的战略导向，宣传我国基础研究取得的重要进展，激励广大科研人员勇攀科学高峰、产出更多原创性成果；推动基础研究科学普及，促进公众对基础研究的了解、关心和支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4017","errorWord":"的重要指示精神","length":7,"majorClass":"文字提醒","majorClassCode":"E001","manufacturer":"方正","manufacturerCode":"funz","offset":401,"originalText":null,"reason":"重点词检查","rightWord":"习近平总书记的重要指示精神","source":"","tagEndIndex":408,"tagStartIndex":401,"zuobian":400,"youbian":407,"colorCode":255,"color":"#ce3e31","zksq":"收起","position":"第1页第20行    ","gaichi":"的重要指示精神 → 习近平总书记的重要指示精神            (方正)","gaichi1":" → ","suggest":{"ignore":true,"modify":false,"showSug":false,"showReason":true,"sug":""},"errorType":"“中国科学十大进展”遴选活动旨在深入贯彻习近平总书记关于科技创新的重要论述，特别是对国家自然科学基金委员会工作作出的重要指示精神，坚持“四个面向”的战略导向，宣传我国基础研究取得的重要进展，激励广大科研人员勇攀科学高峰、产出更多原创性成果；推动基础研究科学普及，促进公众对基础研究的了解、关心和支持。\r","xuanzhongindex":false,"xuanzhongone":true,"oid":"keyfocus0","proofreadLogId":null,"errorInfo":"进展”遴选活动旨在深入贯彻习近平总书记关于科技创新的重要论述，特别是对国家自然科学基金委员会工作作出&lt;em&gt;的重要指示精神&lt;/em&gt;，坚持“四个面向”的战略导向，宣传我国基础研究取得的重要进展，激励广大科研人员勇攀科学高峰、产出更多原创性成果；推动基础研究科学普及，促进公众对基础研究的了解、关心和支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6372","errorWord":"审议","length":2,"majorClass":"敏感词汇","majorClassCode":"E004","manufacturer":"方正","manufacturerCode":"funz","offset":637,"originalText":null,"reason":"敏感词检查：敏感词类型：涉政敏感词（出自外接词库-人民日报社）","rightWord":"用于人大代表","source":"敏感词类型：涉政敏感词（出自外接词库-人民日报社）","tagEndIndex":639,"tagStartIndex":637,"zuobian":636,"youbian":638,"colorCode":8421376,"color":"#12c3b1","zksq":"收起","position":"第2页第6行    ","gaichi":"审议 → 用于人大代表            (方正)","gaichi1":" → ","suggest":{"ignore":true,"modify":false,"showSug":false,"showReason":true,"sug":""},"errorType":"2025年度“中国科学十大进展”遴选活动（第21届）由国家自然科学基金委员会主办，国家自然科学基金委员会高技术研究发展中心（国家自然科学基金委员会基础研究管理中心）承办，分为推荐、初选、终选和审议四个环节。《中国基础科学》《科技导报》《中国科学院院刊》《中国科学基金》《科学通报》5家编辑部以及教育部相关部门推荐了600多项基础研究进展；初选由150余位相关学科领域专家学者遴选出30项候选进展，终选经包括480余位两院院士在内的3000余位专家学者对这30项候选进展网络实名投票，遴选出10项进展；经国家自然科学基金委员会咨询委员会审议，最终确定2025年度“中国科学十大进展”。\r","xuanzhongindex":false,"xuanzhongone":true,"oid":"keyfocus0","proofreadLogId":null,"errorInfo":"学基金委员会高技术研究发展中心（国家自然科学基金委员会基础研究管理中心）承办，分为推荐、初选、终选和&lt;cm&gt;审议&lt;/cm&gt;四个环节。","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6372","errorWord":"审议","length":2,"majorClass":"敏感词汇","majorClassCode":"E004","manufacturer":"方正","manufacturerCode":"funz","offset":637,"originalText":null,"reason":"敏感词检查：敏感词类型：涉政敏感词（出自外接词库-人民日报社）","rightWord":"用于人大代表","source":"敏感词类型：涉政敏感词（出自外接词库-人民日报社）","tagEndIndex":639,"tagStartIndex":637,"zuobian":636,"youbian":638,"colorCode":8421376,"color":"#12c3b1","zksq":"收起","position":"第2页第6行    ","gaichi":"审议 → 用于人大代表            (方正)","gaichi1":" → ","suggest":{"ignore":true,"modify":false,"showSug":false,"showReason":true,"sug":""},"errorType":"2025年度“中国科学十大进展”遴选活动（第21届）由国家自然科学基金委员会主办，国家自然科学基金委员会高技术研究发展中心（国家自然科学基金委员会基础研究管理中心）承办，分为推荐、初选、终选和审议四个环节。《中国基础科学》《科技导报》《中国科学院院刊》《中国科学基金》《科学通报》5家编辑部以及教育部相关部门推荐了600多项基础研究进展；初选由150余位相关学科领域专家学者遴选出30项候选进展，终选经包括480余位两院院士在内的3000余位专家学者对这30项候选进展网络实名投票，遴选出10项进展；经国家自然科学基金委员会咨询委员会审议，最终确定2025年度“中国科学十大进展”。\r","xuanzhongindex":false,"xuanzhongone":true,"oid":"keyfocus0","proofreadLogId":null,"errorInfo":"学基金委员会高技术研究发展中心（国家自然科学基金委员会基础研究管理中心）承办，分为推荐、初选、终选和&lt;cm&gt;审议&lt;/cm&gt;四个环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6372","errorWord":"审议","length":2,"majorClass":"敏感词汇","majorClassCode":"E004","manufacturer":"方正","manufacturerCode":"funz","offset":637,"originalText":null,"reason":"敏感词检查：敏感词类型：涉政敏感词（出自外接词库-人民日报社）","rightWord":"用于人大代表","source":"敏感词类型：涉政敏感词（出自外接词库-人民日报社）","tagEndIndex":639,"tagStartIndex":637,"zuobian":636,"youbian":638,"colorCode":8421376,"color":"#12c3b1","zksq":"收起","position":"第2页第6行    ","gaichi":"审议 → 用于人大代表            (方正)","gaichi1":" → ","suggest":{"ignore":true,"modify":false,"showSug":false,"showReason":true,"sug":""},"errorType":"2025年度“中国科学十大进展”遴选活动（第21届）由国家自然科学基金委员会主办，国家自然科学基金委员会高技术研究发展中心（国家自然科学基金委员会基础研究管理中心）承办，分为推荐、初选、终选和审议四个环节。《中国基础科学》《科技导报》《中国科学院院刊》《中国科学基金》《科学通报》5家编辑部以及教育部相关部门推荐了600多项基础研究进展；初选由150余位相关学科领域专家学者遴选出30项候选进展，终选经包括480余位两院院士在内的3000余位专家学者对这30项候选进展网络实名投票，遴选出10项进展；经国家自然科学基金委员会咨询委员会审议，最终确定2025年度“中国科学十大进展”。\r","xuanzhongindex":false,"xuanzhongone":true,"oid":"keyfocus0","proofreadLogId":null,"errorInfo":"学基金委员会高技术研究发展中心（国家自然科学基金委员会基础研究管理中心）承办，分为推荐、初选、终选和&lt;cm&gt;审议&lt;/cm&gt;四个环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8082","errorWord":"审议","length":2,"majorClass":"敏感词汇","majorClassCode":"E004","manufacturer":"方正","manufacturerCode":"funz","offset":808,"originalText":null,"reason":"敏感词检查：敏感词类型：涉政敏感词（出自外接词库-人民日报社）","rightWord":"用于人大代表","source":"敏感词类型：涉政敏感词（出自外接词库-人民日报社）","tagEndIndex":810,"tagStartIndex":808,"zuobian":807,"youbian":809,"colorCode":8421376,"color":"#12c3b1","zksq":"收起","position":"第2页第13行    ","gaichi":"审议 → 用于人大代表            (方正)","gaichi1":" → ","suggest":{"ignore":true,"modify":false,"showSug":false,"showReason":true,"sug":""},"errorType":"2025年度“中国科学十大进展”遴选活动（第21届）由国家自然科学基金委员会主办，国家自然科学基金委员会高技术研究发展中心（国家自然科学基金委员会基础研究管理中心）承办，分为推荐、初选、终选和审议四个环节。《中国基础科学》《科技导报》《中国科学院院刊》《中国科学基金》《科学通报》5家编辑部以及教育部相关部门推荐了600多项基础研究进展；初选由150余位相关学科领域专家学者遴选出30项候选进展，终选经包括480余位两院院士在内的3000余位专家学者对这30项候选进展网络实名投票，遴选出10项进展；经国家自然科学基金委员会咨询委员会审议，最终确定2025年度“中国科学十大进展”。\r","xuanzhongindex":false,"xuanzhongone":true,"oid":"keyfocus0","proofreadLogId":null,"errorInfo":"00余位专家学者对这30项候选进展网络实名投票，遴选出10项进展；经国家自然科学基金委员会咨询委员会&lt;cm&gt;审议&lt;/cm&gt;，最终确定2025年度“中国科学十大进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8082","errorWord":"审议","length":2,"majorClass":"敏感词汇","majorClassCode":"E004","manufacturer":"方正","manufacturerCode":"funz","offset":808,"originalText":null,"reason":"敏感词检查：敏感词类型：涉政敏感词（出自外接词库-人民日报社）","rightWord":"用于人大代表","source":"敏感词类型：涉政敏感词（出自外接词库-人民日报社）","tagEndIndex":810,"tagStartIndex":808,"zuobian":807,"youbian":809,"colorCode":8421376,"color":"#12c3b1","zksq":"收起","position":"第2页第13行    ","gaichi":"审议 → 用于人大代表            (方正)","gaichi1":" → ","suggest":{"ignore":true,"modify":false,"showSug":false,"showReason":true,"sug":""},"errorType":"2025年度“中国科学十大进展”遴选活动（第21届）由国家自然科学基金委员会主办，国家自然科学基金委员会高技术研究发展中心（国家自然科学基金委员会基础研究管理中心）承办，分为推荐、初选、终选和审议四个环节。《中国基础科学》《科技导报》《中国科学院院刊》《中国科学基金》《科学通报》5家编辑部以及教育部相关部门推荐了600多项基础研究进展；初选由150余位相关学科领域专家学者遴选出30项候选进展，终选经包括480余位两院院士在内的3000余位专家学者对这30项候选进展网络实名投票，遴选出10项进展；经国家自然科学基金委员会咨询委员会审议，最终确定2025年度“中国科学十大进展”。\r","xuanzhongindex":false,"xuanzhongone":true,"oid":"keyfocus0","proofreadLogId":null,"errorInfo":"00余位专家学者对这30项候选进展网络实名投票，遴选出10项进展；经国家自然科学基金委员会咨询委员会&lt;cm&gt;审议&lt;/cm&gt;，最终确定2025年度“中国科学十大进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8082","errorWord":"审议","length":2,"majorClass":"敏感词汇","majorClassCode":"E004","manufacturer":"方正","manufacturerCode":"funz","offset":808,"originalText":null,"reason":"敏感词检查：敏感词类型：涉政敏感词（出自外接词库-人民日报社）","rightWord":"用于人大代表","source":"敏感词类型：涉政敏感词（出自外接词库-人民日报社）","tagEndIndex":810,"tagStartIndex":808,"zuobian":807,"youbian":809,"colorCode":8421376,"color":"#12c3b1","zksq":"收起","position":"第2页第13行    ","gaichi":"审议 → 用于人大代表            (方正)","gaichi1":" → ","suggest":{"ignore":true,"modify":false,"showSug":false,"showReason":true,"sug":""},"errorType":"2025年度“中国科学十大进展”遴选活动（第21届）由国家自然科学基金委员会主办，国家自然科学基金委员会高技术研究发展中心（国家自然科学基金委员会基础研究管理中心）承办，分为推荐、初选、终选和审议四个环节。《中国基础科学》《科技导报》《中国科学院院刊》《中国科学基金》《科学通报》5家编辑部以及教育部相关部门推荐了600多项基础研究进展；初选由150余位相关学科领域专家学者遴选出30项候选进展，终选经包括480余位两院院士在内的3000余位专家学者对这30项候选进展网络实名投票，遴选出10项进展；经国家自然科学基金委员会咨询委员会审议，最终确定2025年度“中国科学十大进展”。\r","xuanzhongindex":false,"xuanzhongone":true,"oid":"keyfocus0","proofreadLogId":null,"errorInfo":"00余位专家学者对这30项候选进展网络实名投票，遴选出10项进展；经国家自然科学基金委员会咨询委员会&lt;cm&gt;审议&lt;/cm&gt;，最终确定2025年度“中国科学十大进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y fmtid="{D5CDD505-2E9C-101B-9397-08002B2CF9AE}" pid="5" name="KSOTemplateDocerSaveRecord">
    <vt:lpwstr>eyJoZGlkIjoiZGNhYTY5YmM2OTZiYzhmMWFmNWM1NzQ1YzM5MzBmNzYiLCJ1c2VySWQiOiI5MjAzMzU3MTcifQ==</vt:lpwstr>
  </property>
</Properties>
</file>