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0F7E4E">
      <w:pPr>
        <w:pStyle w:val="4"/>
        <w:widowControl/>
        <w:spacing w:beforeAutospacing="0" w:afterAutospacing="0" w:line="560" w:lineRule="exact"/>
        <w:jc w:val="center"/>
        <w:rPr>
          <w:rFonts w:hint="eastAsia" w:ascii="方正小标宋简体" w:hAnsi="方正小标宋简体" w:eastAsia="方正小标宋简体" w:cs="方正小标宋简体"/>
          <w:b/>
          <w:bCs/>
          <w:sz w:val="44"/>
          <w:szCs w:val="44"/>
        </w:rPr>
      </w:pPr>
    </w:p>
    <w:p w14:paraId="115FDA11">
      <w:pPr>
        <w:pStyle w:val="4"/>
        <w:widowControl/>
        <w:spacing w:beforeAutospacing="0" w:afterAutospacing="0"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中关村论坛</w:t>
      </w:r>
      <w:r>
        <w:rPr>
          <w:rFonts w:hint="eastAsia" w:ascii="方正小标宋简体" w:hAnsi="方正小标宋简体" w:eastAsia="方正小标宋简体" w:cs="方正小标宋简体"/>
          <w:sz w:val="44"/>
          <w:szCs w:val="44"/>
          <w:lang w:val="en-US" w:eastAsia="zh-CN"/>
        </w:rPr>
        <w:t>年会</w:t>
      </w:r>
      <w:r>
        <w:rPr>
          <w:rFonts w:hint="eastAsia" w:ascii="方正小标宋简体" w:hAnsi="方正小标宋简体" w:eastAsia="方正小标宋简体" w:cs="方正小标宋简体"/>
          <w:sz w:val="44"/>
          <w:szCs w:val="44"/>
        </w:rPr>
        <w:t>平行论坛</w:t>
      </w:r>
    </w:p>
    <w:p w14:paraId="229D1DF4">
      <w:pPr>
        <w:pStyle w:val="4"/>
        <w:widowControl/>
        <w:spacing w:beforeAutospacing="0" w:afterAutospacing="0"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新闻通气会发言稿</w:t>
      </w:r>
    </w:p>
    <w:p w14:paraId="34E9115F">
      <w:pPr>
        <w:pStyle w:val="4"/>
        <w:widowControl/>
        <w:spacing w:beforeAutospacing="0" w:afterAutospacing="0" w:line="560" w:lineRule="exact"/>
        <w:rPr>
          <w:rFonts w:ascii="仿宋_GB2312" w:hAnsi="仿宋_GB2312" w:eastAsia="仿宋_GB2312" w:cs="仿宋_GB2312"/>
          <w:sz w:val="32"/>
          <w:szCs w:val="32"/>
        </w:rPr>
      </w:pPr>
    </w:p>
    <w:p w14:paraId="77B054D7">
      <w:pPr>
        <w:pStyle w:val="4"/>
        <w:widowControl/>
        <w:spacing w:beforeAutospacing="0" w:afterAutospacing="0"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各位媒体朋友们：</w:t>
      </w:r>
    </w:p>
    <w:p w14:paraId="7C66B18B">
      <w:pPr>
        <w:pStyle w:val="4"/>
        <w:widowControl/>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大家下午好。非常荣幸代表北京市投资促进服务中心，向大家介绍即将于3月25日举办的“2026投资北京大会”</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筹备情况及核心亮点。</w:t>
      </w:r>
    </w:p>
    <w:p w14:paraId="487F3BCA">
      <w:pPr>
        <w:pStyle w:val="4"/>
        <w:widowControl/>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本次大会由北京市人民政府主办，</w:t>
      </w:r>
      <w:r>
        <w:rPr>
          <w:rFonts w:hint="eastAsia" w:ascii="仿宋_GB2312" w:hAnsi="仿宋_GB2312" w:eastAsia="仿宋_GB2312" w:cs="仿宋_GB2312"/>
          <w:sz w:val="32"/>
          <w:szCs w:val="32"/>
          <w:lang w:val="en-US" w:eastAsia="zh-CN"/>
        </w:rPr>
        <w:t>北京</w:t>
      </w:r>
      <w:r>
        <w:rPr>
          <w:rFonts w:hint="eastAsia" w:ascii="仿宋_GB2312" w:hAnsi="仿宋_GB2312" w:eastAsia="仿宋_GB2312" w:cs="仿宋_GB2312"/>
          <w:sz w:val="32"/>
          <w:szCs w:val="32"/>
        </w:rPr>
        <w:t>市发展改革委、</w:t>
      </w:r>
      <w:r>
        <w:rPr>
          <w:rFonts w:hint="eastAsia" w:ascii="仿宋_GB2312" w:hAnsi="仿宋_GB2312" w:eastAsia="仿宋_GB2312" w:cs="仿宋_GB2312"/>
          <w:sz w:val="32"/>
          <w:szCs w:val="32"/>
          <w:lang w:val="en-US" w:eastAsia="zh-CN"/>
        </w:rPr>
        <w:t>北京</w:t>
      </w:r>
      <w:r>
        <w:rPr>
          <w:rFonts w:hint="eastAsia" w:ascii="仿宋_GB2312" w:hAnsi="仿宋_GB2312" w:eastAsia="仿宋_GB2312" w:cs="仿宋_GB2312"/>
          <w:sz w:val="32"/>
          <w:szCs w:val="32"/>
        </w:rPr>
        <w:t>市投促中心等多部门联合承办，定于3月25日下午15：00，在中关村国际创新中心畅春厅举办。大会以“投资北京</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赢得未来”为主题，依托中关村论坛平台优势，精心策划了“政策解读+项目签约+成果展示+N场‘一对一’精准对接”的活动架构，将全方位、多维度呈现北京作为科技创新中心和高水平开放窗口的独特魅力与无限商机。</w:t>
      </w:r>
    </w:p>
    <w:p w14:paraId="10C3012D">
      <w:pPr>
        <w:pStyle w:val="4"/>
        <w:widowControl/>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嘉宾邀请方面，已收到来自全球800多家企业和机构的报名确认，现场预计将有600余位重要嘉宾出席。其中包括国际知名专家、世界500强企业高管、国际顶级投资机构合伙人，以及重点国家驻华使节等。</w:t>
      </w:r>
      <w:r>
        <w:rPr>
          <w:rFonts w:hint="eastAsia" w:ascii="仿宋_GB2312" w:hAnsi="仿宋_GB2312" w:eastAsia="仿宋_GB2312" w:cs="仿宋_GB2312"/>
          <w:sz w:val="32"/>
          <w:szCs w:val="32"/>
          <w:lang w:val="en-US" w:eastAsia="zh-CN"/>
        </w:rPr>
        <w:t>北京</w:t>
      </w:r>
      <w:r>
        <w:rPr>
          <w:rFonts w:hint="eastAsia" w:ascii="仿宋_GB2312" w:hAnsi="仿宋_GB2312" w:eastAsia="仿宋_GB2312" w:cs="仿宋_GB2312"/>
          <w:sz w:val="32"/>
          <w:szCs w:val="32"/>
        </w:rPr>
        <w:t>市政府相关领导也将出席大会。</w:t>
      </w:r>
    </w:p>
    <w:p w14:paraId="0CDDDA09">
      <w:pPr>
        <w:pStyle w:val="4"/>
        <w:widowControl/>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本次大会有6大核心看点：</w:t>
      </w:r>
    </w:p>
    <w:p w14:paraId="1CF2BAFE">
      <w:pPr>
        <w:pStyle w:val="4"/>
        <w:widowControl/>
        <w:spacing w:beforeAutospacing="0" w:afterAutospacing="0"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、突出落地实效，一批重大在京投资项目集中签约。</w:t>
      </w:r>
      <w:r>
        <w:rPr>
          <w:rFonts w:hint="eastAsia" w:ascii="仿宋_GB2312" w:hAnsi="仿宋_GB2312" w:eastAsia="仿宋_GB2312" w:cs="仿宋_GB2312"/>
          <w:sz w:val="32"/>
          <w:szCs w:val="32"/>
        </w:rPr>
        <w:t>涵盖科技服务、智能制造、医药健康等领域的一批重大项目，将在大会集中签约，将为北京产业发展注入强劲新动能。</w:t>
      </w:r>
    </w:p>
    <w:p w14:paraId="3DAE328F">
      <w:pPr>
        <w:pStyle w:val="4"/>
        <w:widowControl/>
        <w:spacing w:beforeAutospacing="0" w:afterAutospacing="0"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、金融赋能区域协同，京津冀基金完成首批</w:t>
      </w:r>
      <w:r>
        <w:rPr>
          <w:rFonts w:hint="eastAsia" w:ascii="黑体" w:hAnsi="黑体" w:eastAsia="黑体" w:cs="黑体"/>
          <w:sz w:val="32"/>
          <w:szCs w:val="32"/>
          <w:lang w:eastAsia="zh"/>
          <w:woUserID w:val="1"/>
        </w:rPr>
        <w:t>投资</w:t>
      </w:r>
      <w:r>
        <w:rPr>
          <w:rFonts w:hint="eastAsia" w:ascii="黑体" w:hAnsi="黑体" w:eastAsia="黑体" w:cs="黑体"/>
          <w:sz w:val="32"/>
          <w:szCs w:val="32"/>
        </w:rPr>
        <w:t>。</w:t>
      </w:r>
      <w:r>
        <w:rPr>
          <w:rFonts w:hint="eastAsia" w:ascii="仿宋_GB2312" w:hAnsi="仿宋_GB2312" w:eastAsia="仿宋_GB2312" w:cs="仿宋_GB2312"/>
          <w:sz w:val="32"/>
          <w:szCs w:val="32"/>
        </w:rPr>
        <w:t>由国家创业投资引导基金、中投公司及8家系统企业、中国银行相关主体及京津冀区域相关主体共同出资，中金资本运营有限公司担任管理人，规模达500亿元的国家级区域基金“京津冀创业投资引导基金”，将进行首批重点项目签约仪式，完成首笔出资，进入实质性投资落地新阶段。通过金融赋能，助力京津冀三地战略性新兴产业和未来产业发展。</w:t>
      </w:r>
    </w:p>
    <w:p w14:paraId="631E23B2">
      <w:pPr>
        <w:pStyle w:val="4"/>
        <w:widowControl/>
        <w:spacing w:beforeAutospacing="0" w:afterAutospacing="0"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三、助力企业扬帆出海，“共建</w:t>
      </w:r>
      <w:r>
        <w:rPr>
          <w:rFonts w:hint="eastAsia" w:ascii="黑体" w:hAnsi="黑体" w:eastAsia="黑体" w:cs="黑体"/>
          <w:sz w:val="32"/>
          <w:szCs w:val="32"/>
          <w:lang w:eastAsia="zh-CN"/>
        </w:rPr>
        <w:t>‘</w:t>
      </w:r>
      <w:r>
        <w:rPr>
          <w:rFonts w:hint="eastAsia" w:ascii="黑体" w:hAnsi="黑体" w:eastAsia="黑体" w:cs="黑体"/>
          <w:sz w:val="32"/>
          <w:szCs w:val="32"/>
        </w:rPr>
        <w:t>一带一路</w:t>
      </w:r>
      <w:r>
        <w:rPr>
          <w:rFonts w:hint="eastAsia" w:ascii="黑体" w:hAnsi="黑体" w:eastAsia="黑体" w:cs="黑体"/>
          <w:sz w:val="32"/>
          <w:szCs w:val="32"/>
          <w:lang w:eastAsia="zh-CN"/>
        </w:rPr>
        <w:t>’</w:t>
      </w:r>
      <w:r>
        <w:rPr>
          <w:rFonts w:hint="eastAsia" w:ascii="黑体" w:hAnsi="黑体" w:eastAsia="黑体" w:cs="黑体"/>
          <w:sz w:val="32"/>
          <w:szCs w:val="32"/>
        </w:rPr>
        <w:t>直通车综合服务平台科创出海会客厅”揭牌。</w:t>
      </w:r>
      <w:r>
        <w:rPr>
          <w:rFonts w:hint="eastAsia" w:ascii="仿宋_GB2312" w:hAnsi="仿宋_GB2312" w:eastAsia="仿宋_GB2312" w:cs="仿宋_GB2312"/>
          <w:sz w:val="32"/>
          <w:szCs w:val="32"/>
        </w:rPr>
        <w:t>为进一步拓展北京对接全球市场的合作网络，助力企业扬帆出海，</w:t>
      </w:r>
      <w:r>
        <w:rPr>
          <w:rFonts w:hint="eastAsia" w:ascii="仿宋_GB2312" w:hAnsi="仿宋_GB2312" w:eastAsia="仿宋_GB2312" w:cs="仿宋_GB2312"/>
          <w:sz w:val="32"/>
          <w:szCs w:val="32"/>
          <w:lang w:val="en-US" w:eastAsia="zh-CN"/>
        </w:rPr>
        <w:t>北京</w:t>
      </w:r>
      <w:r>
        <w:rPr>
          <w:rFonts w:hint="eastAsia" w:ascii="仿宋_GB2312" w:hAnsi="仿宋_GB2312" w:eastAsia="仿宋_GB2312" w:cs="仿宋_GB2312"/>
          <w:sz w:val="32"/>
          <w:szCs w:val="32"/>
        </w:rPr>
        <w:t>市集</w:t>
      </w:r>
      <w:r>
        <w:rPr>
          <w:rFonts w:hint="eastAsia" w:ascii="仿宋_GB2312" w:hAnsi="仿宋_GB2312" w:eastAsia="仿宋_GB2312" w:cs="仿宋_GB2312"/>
          <w:sz w:val="32"/>
          <w:szCs w:val="32"/>
          <w:lang w:val="en-US" w:eastAsia="zh-CN"/>
        </w:rPr>
        <w:t>聚</w:t>
      </w:r>
      <w:r>
        <w:rPr>
          <w:rFonts w:hint="eastAsia" w:ascii="仿宋_GB2312" w:hAnsi="仿宋_GB2312" w:eastAsia="仿宋_GB2312" w:cs="仿宋_GB2312"/>
          <w:sz w:val="32"/>
          <w:szCs w:val="32"/>
        </w:rPr>
        <w:t>政府公共服务和市场专业服务资源，搭建了共建“一带一路”直通车综合服务平台，为企业提供权威的一站式综合性服务。会客厅的设立将有效服务科创企业的</w:t>
      </w:r>
      <w:r>
        <w:rPr>
          <w:rFonts w:hint="eastAsia" w:ascii="仿宋_GB2312" w:hAnsi="仿宋_GB2312" w:eastAsia="仿宋_GB2312" w:cs="仿宋_GB2312"/>
          <w:sz w:val="32"/>
          <w:szCs w:val="32"/>
          <w:lang w:val="en-US" w:eastAsia="zh-CN"/>
        </w:rPr>
        <w:t>业务</w:t>
      </w:r>
      <w:r>
        <w:rPr>
          <w:rFonts w:hint="eastAsia" w:ascii="仿宋_GB2312" w:hAnsi="仿宋_GB2312" w:eastAsia="仿宋_GB2312" w:cs="仿宋_GB2312"/>
          <w:sz w:val="32"/>
          <w:szCs w:val="32"/>
        </w:rPr>
        <w:t>拓展需求，实现“科技创新+出海服务”的无缝衔接。</w:t>
      </w:r>
    </w:p>
    <w:p w14:paraId="184C4053">
      <w:pPr>
        <w:pStyle w:val="4"/>
        <w:widowControl/>
        <w:spacing w:beforeAutospacing="0" w:afterAutospacing="0"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四、开展深度互动交流，设置“融合与创新，生物医药新生态”圆桌对话。</w:t>
      </w:r>
      <w:r>
        <w:rPr>
          <w:rFonts w:hint="eastAsia" w:ascii="仿宋_GB2312" w:hAnsi="仿宋_GB2312" w:eastAsia="仿宋_GB2312" w:cs="仿宋_GB2312"/>
          <w:sz w:val="32"/>
          <w:szCs w:val="32"/>
        </w:rPr>
        <w:t>圆桌对话将以“融合与创新，生物医药新生态”为主题，邀请</w:t>
      </w:r>
      <w:r>
        <w:rPr>
          <w:rFonts w:hint="eastAsia" w:ascii="仿宋_GB2312" w:hAnsi="仿宋_GB2312" w:eastAsia="仿宋_GB2312" w:cs="仿宋_GB2312"/>
          <w:sz w:val="32"/>
          <w:szCs w:val="32"/>
          <w:lang w:val="en-US" w:eastAsia="zh-CN"/>
        </w:rPr>
        <w:t>北京</w:t>
      </w:r>
      <w:r>
        <w:rPr>
          <w:rFonts w:hint="eastAsia" w:ascii="仿宋_GB2312" w:hAnsi="仿宋_GB2312" w:eastAsia="仿宋_GB2312" w:cs="仿宋_GB2312"/>
          <w:sz w:val="32"/>
          <w:szCs w:val="32"/>
        </w:rPr>
        <w:t>市医保局领导、北京大学肿瘤医院、宣武医院等国内顶尖医疗机构负责人，与辉瑞、拜耳等跨国药企高管，以及淡马锡等投资机构代表，围绕生物医药产业创新、医工融合、跨境合作及医保政策支持等议题展开深度交流，探讨北京打造具有国际影响力的生物医药产业创新高地新路径。</w:t>
      </w:r>
    </w:p>
    <w:p w14:paraId="4C5A3FAB">
      <w:pPr>
        <w:pStyle w:val="4"/>
        <w:widowControl/>
        <w:spacing w:beforeAutospacing="0" w:afterAutospacing="0"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五、精准对接项目与投资，安排一对一咨询洽谈和优质项目路演。</w:t>
      </w:r>
      <w:r>
        <w:rPr>
          <w:rFonts w:hint="eastAsia" w:ascii="仿宋_GB2312" w:hAnsi="仿宋_GB2312" w:eastAsia="仿宋_GB2312" w:cs="仿宋_GB2312"/>
          <w:sz w:val="32"/>
          <w:szCs w:val="32"/>
        </w:rPr>
        <w:t>大会现场</w:t>
      </w:r>
      <w:r>
        <w:rPr>
          <w:rFonts w:hint="eastAsia" w:ascii="仿宋_GB2312" w:hAnsi="仿宋_GB2312" w:eastAsia="仿宋_GB2312" w:cs="仿宋_GB2312"/>
          <w:sz w:val="32"/>
          <w:szCs w:val="32"/>
          <w:lang w:eastAsia="zh-CN"/>
        </w:rPr>
        <w:t>设置了全市各区、经开区的 17 个对接咨询台，划分为智能制造、新一代信息技术、新能源、生物医药、集成电路、新材料等6大板块的“</w:t>
      </w:r>
      <w:r>
        <w:rPr>
          <w:rFonts w:hint="eastAsia" w:ascii="仿宋_GB2312" w:hAnsi="仿宋_GB2312" w:eastAsia="仿宋_GB2312" w:cs="仿宋_GB2312"/>
          <w:sz w:val="32"/>
          <w:szCs w:val="32"/>
        </w:rPr>
        <w:t>一对一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咨询洽谈区，汇聚</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80</w:t>
      </w:r>
      <w:r>
        <w:rPr>
          <w:rFonts w:hint="eastAsia" w:ascii="仿宋_GB2312" w:hAnsi="仿宋_GB2312" w:eastAsia="仿宋_GB2312" w:cs="仿宋_GB2312"/>
          <w:sz w:val="32"/>
          <w:szCs w:val="32"/>
          <w:lang w:eastAsia="zh-CN"/>
        </w:rPr>
        <w:t>余</w:t>
      </w:r>
      <w:r>
        <w:rPr>
          <w:rFonts w:hint="eastAsia" w:ascii="仿宋_GB2312" w:hAnsi="仿宋_GB2312" w:eastAsia="仿宋_GB2312" w:cs="仿宋_GB2312"/>
          <w:sz w:val="32"/>
          <w:szCs w:val="32"/>
        </w:rPr>
        <w:t>家有融资需求的优质企业</w:t>
      </w:r>
      <w:r>
        <w:rPr>
          <w:rFonts w:hint="eastAsia" w:ascii="仿宋_GB2312" w:hAnsi="仿宋_GB2312" w:eastAsia="仿宋_GB2312" w:cs="仿宋_GB2312"/>
          <w:sz w:val="32"/>
          <w:szCs w:val="32"/>
          <w:lang w:eastAsia="zh-CN"/>
        </w:rPr>
        <w:t>、以及</w:t>
      </w:r>
      <w:r>
        <w:rPr>
          <w:rFonts w:hint="eastAsia" w:ascii="仿宋_GB2312" w:hAnsi="仿宋_GB2312" w:eastAsia="仿宋_GB2312" w:cs="仿宋_GB2312"/>
          <w:sz w:val="32"/>
          <w:szCs w:val="32"/>
        </w:rPr>
        <w:t>150余家知名投资机构，为企业搭建高效投融资对接平台，助力项目与资本精准匹配。大会还精选了新一代信息技术、人工智能、智能制造、新材料等前沿领域的</w:t>
      </w:r>
      <w:r>
        <w:rPr>
          <w:rFonts w:hint="eastAsia" w:ascii="仿宋_GB2312" w:hAnsi="仿宋_GB2312" w:eastAsia="仿宋_GB2312" w:cs="仿宋_GB2312"/>
          <w:sz w:val="32"/>
          <w:szCs w:val="32"/>
          <w:lang w:eastAsia="zh-CN"/>
        </w:rPr>
        <w:t>多个</w:t>
      </w:r>
      <w:r>
        <w:rPr>
          <w:rFonts w:hint="eastAsia" w:ascii="仿宋_GB2312" w:hAnsi="仿宋_GB2312" w:eastAsia="仿宋_GB2312" w:cs="仿宋_GB2312"/>
          <w:sz w:val="32"/>
          <w:szCs w:val="32"/>
        </w:rPr>
        <w:t>高成长性优质项目进行路演，打通项目落地“最后一公里”。</w:t>
      </w:r>
    </w:p>
    <w:p w14:paraId="3DE2FF1E">
      <w:pPr>
        <w:pStyle w:val="4"/>
        <w:widowControl/>
        <w:spacing w:beforeAutospacing="0" w:afterAutospacing="0"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六、助力企业投资北京，开展主题推介与政策解读。</w:t>
      </w:r>
      <w:r>
        <w:rPr>
          <w:rFonts w:hint="eastAsia" w:ascii="仿宋_GB2312" w:hAnsi="仿宋_GB2312" w:eastAsia="仿宋_GB2312" w:cs="仿宋_GB2312"/>
          <w:sz w:val="32"/>
          <w:szCs w:val="32"/>
        </w:rPr>
        <w:t>主题推介将聚焦北京产业发展方向，从资源优势、产业生态、营商环境等方面全方位展现北京投资价值。政策解读将介绍北京高精尖产业发展现状与专项支持措施，阐释北京市“十五五”时期重点产业发展方向，为企业在京投资布局提供精准指引。</w:t>
      </w:r>
    </w:p>
    <w:p w14:paraId="26E9393B">
      <w:pPr>
        <w:pStyle w:val="4"/>
        <w:widowControl/>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各位朋友，2026投资北京大会是一场全球资源的聚合会、投资机遇的对接会。我们诚挚邀请各界嘉宾、朋友，莅临大会现场，与我们一道，投资北京，赢得未来！</w:t>
      </w:r>
    </w:p>
    <w:p w14:paraId="495B1974">
      <w:pPr>
        <w:pStyle w:val="4"/>
        <w:widowControl/>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谢谢大家。</w:t>
      </w:r>
    </w:p>
    <w:p w14:paraId="6CA7C72B">
      <w:pPr>
        <w:spacing w:line="560" w:lineRule="exact"/>
        <w:ind w:firstLine="640" w:firstLineChars="200"/>
        <w:rPr>
          <w:rFonts w:ascii="仿宋_GB2312" w:hAnsi="仿宋_GB2312" w:eastAsia="仿宋_GB2312" w:cs="仿宋_GB2312"/>
          <w:sz w:val="32"/>
          <w:szCs w:val="32"/>
        </w:rPr>
      </w:pPr>
    </w:p>
    <w:p w14:paraId="2705B3DF">
      <w:pPr>
        <w:spacing w:line="560" w:lineRule="exact"/>
        <w:ind w:firstLine="640" w:firstLineChars="200"/>
        <w:rPr>
          <w:rFonts w:ascii="仿宋_GB2312" w:hAnsi="仿宋_GB2312" w:eastAsia="仿宋_GB2312" w:cs="仿宋_GB2312"/>
          <w:sz w:val="32"/>
          <w:szCs w:val="32"/>
        </w:rPr>
      </w:pPr>
    </w:p>
    <w:p w14:paraId="16159032">
      <w:pPr>
        <w:spacing w:line="560" w:lineRule="exact"/>
        <w:ind w:firstLine="640" w:firstLineChars="200"/>
        <w:rPr>
          <w:rFonts w:ascii="仿宋_GB2312" w:hAnsi="仿宋_GB2312" w:eastAsia="仿宋_GB2312" w:cs="仿宋_GB2312"/>
          <w:sz w:val="32"/>
          <w:szCs w:val="32"/>
        </w:rPr>
      </w:pPr>
    </w:p>
    <w:p w14:paraId="489E8E91">
      <w:pPr>
        <w:spacing w:line="560" w:lineRule="exact"/>
        <w:rPr>
          <w:rFonts w:ascii="仿宋_GB2312" w:hAnsi="仿宋_GB2312" w:eastAsia="仿宋_GB2312" w:cs="仿宋_GB2312"/>
          <w:sz w:val="32"/>
          <w:szCs w:val="32"/>
        </w:rPr>
      </w:pPr>
    </w:p>
    <w:p w14:paraId="3B571341">
      <w:pPr>
        <w:spacing w:line="560" w:lineRule="exac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采访问题：</w:t>
      </w:r>
    </w:p>
    <w:p w14:paraId="55B202EE">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京津冀协同发展是重大国家战略，您能否详细介绍一下本次大会</w:t>
      </w:r>
      <w:r>
        <w:rPr>
          <w:rFonts w:hint="eastAsia" w:ascii="仿宋_GB2312" w:hAnsi="仿宋_GB2312" w:eastAsia="仿宋_GB2312" w:cs="仿宋_GB2312"/>
          <w:sz w:val="32"/>
          <w:szCs w:val="32"/>
          <w:lang w:eastAsia="zh"/>
          <w:woUserID w:val="1"/>
        </w:rPr>
        <w:t>即将</w:t>
      </w:r>
      <w:r>
        <w:rPr>
          <w:rFonts w:hint="eastAsia" w:ascii="仿宋_GB2312" w:hAnsi="仿宋_GB2312" w:eastAsia="仿宋_GB2312" w:cs="仿宋_GB2312"/>
          <w:sz w:val="32"/>
          <w:szCs w:val="32"/>
        </w:rPr>
        <w:t>完成首批</w:t>
      </w:r>
      <w:r>
        <w:rPr>
          <w:rFonts w:hint="eastAsia" w:ascii="仿宋_GB2312" w:hAnsi="仿宋_GB2312" w:eastAsia="仿宋_GB2312" w:cs="仿宋_GB2312"/>
          <w:sz w:val="32"/>
          <w:szCs w:val="32"/>
          <w:lang w:eastAsia="zh"/>
          <w:woUserID w:val="1"/>
        </w:rPr>
        <w:t>投资</w:t>
      </w:r>
      <w:r>
        <w:rPr>
          <w:rFonts w:hint="eastAsia" w:ascii="仿宋_GB2312" w:hAnsi="仿宋_GB2312" w:eastAsia="仿宋_GB2312" w:cs="仿宋_GB2312"/>
          <w:sz w:val="32"/>
          <w:szCs w:val="32"/>
        </w:rPr>
        <w:t>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京津冀</w:t>
      </w:r>
      <w:r>
        <w:rPr>
          <w:rFonts w:hint="eastAsia" w:ascii="仿宋_GB2312" w:hAnsi="仿宋_GB2312" w:eastAsia="仿宋_GB2312" w:cs="仿宋_GB2312"/>
          <w:sz w:val="32"/>
          <w:szCs w:val="32"/>
          <w:lang w:val="en-US" w:eastAsia="zh-CN"/>
        </w:rPr>
        <w:t>创业投资引导基金”</w:t>
      </w:r>
      <w:r>
        <w:rPr>
          <w:rFonts w:hint="eastAsia" w:ascii="仿宋_GB2312" w:hAnsi="仿宋_GB2312" w:eastAsia="仿宋_GB2312" w:cs="仿宋_GB2312"/>
          <w:sz w:val="32"/>
          <w:szCs w:val="32"/>
        </w:rPr>
        <w:t>？</w:t>
      </w:r>
    </w:p>
    <w:p w14:paraId="3D676E55">
      <w:pPr>
        <w:spacing w:line="560" w:lineRule="exact"/>
        <w:ind w:firstLine="640"/>
        <w:rPr>
          <w:rFonts w:ascii="仿宋_GB2312" w:hAnsi="仿宋_GB2312" w:eastAsia="仿宋_GB2312" w:cs="仿宋_GB2312"/>
          <w:sz w:val="32"/>
          <w:szCs w:val="32"/>
        </w:rPr>
      </w:pPr>
    </w:p>
    <w:p w14:paraId="3F197CF9">
      <w:pPr>
        <w:spacing w:line="560" w:lineRule="exac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val="en-US" w:eastAsia="zh-CN"/>
        </w:rPr>
        <w:t>回答</w:t>
      </w:r>
      <w:r>
        <w:rPr>
          <w:rFonts w:hint="eastAsia" w:ascii="楷体_GB2312" w:hAnsi="楷体_GB2312" w:eastAsia="楷体_GB2312" w:cs="楷体_GB2312"/>
          <w:b/>
          <w:bCs/>
          <w:sz w:val="32"/>
          <w:szCs w:val="32"/>
        </w:rPr>
        <w:t>：</w:t>
      </w:r>
    </w:p>
    <w:p w14:paraId="5D234937">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在2026投资北京大会上，京津冀创业投资引导基金(简称“京津冀基金”)将进行首批重点项目签约仪式。京津冀基金签约投资4支子基金及1个直投项目，并完成首笔出资，标志着这支规模达500亿元的国家级区域基金进入实质性投资落地新阶段。</w:t>
      </w:r>
      <w:bookmarkStart w:id="0" w:name="_GoBack"/>
      <w:bookmarkEnd w:id="0"/>
    </w:p>
    <w:p w14:paraId="263AAFAF">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京津冀基金由国家创业投资引导基金、中投公司及8家系统企业(中金公司、新华保险、中汇人寿、中再集团、中国建投、银河金控、银河证券、申万宏源)、中国银行相关主体及京津冀区域相关主体(北京市政府引导基金、亦庄国投、天津海河创业投资</w:t>
      </w:r>
      <w:r>
        <w:rPr>
          <w:rFonts w:hint="eastAsia" w:ascii="仿宋_GB2312" w:hAnsi="仿宋_GB2312" w:eastAsia="仿宋_GB2312" w:cs="仿宋_GB2312"/>
          <w:sz w:val="32"/>
          <w:szCs w:val="32"/>
          <w:lang w:val="en-US" w:eastAsia="zh-CN"/>
        </w:rPr>
        <w:t>基金</w:t>
      </w:r>
      <w:r>
        <w:rPr>
          <w:rFonts w:hint="eastAsia" w:ascii="仿宋_GB2312" w:hAnsi="仿宋_GB2312" w:eastAsia="仿宋_GB2312" w:cs="仿宋_GB2312"/>
          <w:sz w:val="32"/>
          <w:szCs w:val="32"/>
        </w:rPr>
        <w:t>、河北创投基金)共同出资，中金资本运营有限公司担任管理人。本次签约的子基金和直投项目，是基金坚持“投早、投小、投长期、投硬科技”导向的首批成果，覆盖了新一代信息技术、生物医药、集成电路等战略性新兴产业领域，精准契合京津冀地区的产业布局与创新需求。通过金融赋能实体项目，有效助力京津冀协同发展。</w:t>
      </w:r>
    </w:p>
    <w:p w14:paraId="422671B9">
      <w:pPr>
        <w:spacing w:line="560" w:lineRule="exact"/>
        <w:ind w:firstLine="640" w:firstLineChars="200"/>
        <w:rPr>
          <w:rFonts w:ascii="仿宋_GB2312" w:hAnsi="仿宋_GB2312" w:eastAsia="仿宋_GB2312" w:cs="仿宋_GB2312"/>
          <w:sz w:val="32"/>
          <w:szCs w:val="32"/>
        </w:rPr>
      </w:pPr>
    </w:p>
    <w:p w14:paraId="55F164A0">
      <w:pPr>
        <w:spacing w:line="560" w:lineRule="exact"/>
        <w:rPr>
          <w:rFonts w:ascii="仿宋_GB2312" w:hAnsi="仿宋_GB2312" w:eastAsia="仿宋_GB2312" w:cs="仿宋_GB2312"/>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embedRegular r:id="rId1" w:fontKey="{B2D7DC25-C9F6-4639-9B16-DF0E5301ECC5}"/>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D28549DB-2B22-4738-93B3-9EA71AD9F921}"/>
  </w:font>
  <w:font w:name="Arial">
    <w:panose1 w:val="020B0604020202020204"/>
    <w:charset w:val="01"/>
    <w:family w:val="swiss"/>
    <w:pitch w:val="default"/>
    <w:sig w:usb0="E0002EFF" w:usb1="C000785B" w:usb2="00000009" w:usb3="00000000" w:csb0="400001FF" w:csb1="FFFF0000"/>
    <w:embedRegular r:id="rId3" w:fontKey="{7FE85DA0-D365-482E-B896-DA3DDA29F39D}"/>
  </w:font>
  <w:font w:name="黑体">
    <w:panose1 w:val="02010609060101010101"/>
    <w:charset w:val="86"/>
    <w:family w:val="auto"/>
    <w:pitch w:val="default"/>
    <w:sig w:usb0="800002BF" w:usb1="38CF7CFA" w:usb2="00000016" w:usb3="00000000" w:csb0="00040001" w:csb1="00000000"/>
    <w:embedRegular r:id="rId4" w:fontKey="{FDA59EDA-BDEB-4518-ABDF-356F59F7A621}"/>
  </w:font>
  <w:font w:name="Courier New">
    <w:panose1 w:val="02070309020205020404"/>
    <w:charset w:val="01"/>
    <w:family w:val="modern"/>
    <w:pitch w:val="default"/>
    <w:sig w:usb0="E0002EFF" w:usb1="C0007843" w:usb2="00000009" w:usb3="00000000" w:csb0="400001FF" w:csb1="FFFF0000"/>
    <w:embedRegular r:id="rId5" w:fontKey="{191638F7-ED54-419D-8844-0B1A3935276D}"/>
  </w:font>
  <w:font w:name="Symbol">
    <w:panose1 w:val="05050102010706020507"/>
    <w:charset w:val="02"/>
    <w:family w:val="roman"/>
    <w:pitch w:val="default"/>
    <w:sig w:usb0="00000000" w:usb1="00000000" w:usb2="00000000" w:usb3="00000000" w:csb0="80000000" w:csb1="00000000"/>
    <w:embedRegular r:id="rId6" w:fontKey="{776BA9BA-A6D5-4B53-851C-E46925EE281B}"/>
  </w:font>
  <w:font w:name="Calibri">
    <w:panose1 w:val="020F0502020204030204"/>
    <w:charset w:val="00"/>
    <w:family w:val="swiss"/>
    <w:pitch w:val="default"/>
    <w:sig w:usb0="E4002EFF" w:usb1="C200247B" w:usb2="00000009" w:usb3="00000000" w:csb0="200001FF" w:csb1="00000000"/>
    <w:embedRegular r:id="rId7" w:fontKey="{329156BA-3EE9-45E1-971E-46180DD7D188}"/>
  </w:font>
  <w:font w:name="楷体_GB2312">
    <w:panose1 w:val="02010609030101010101"/>
    <w:charset w:val="86"/>
    <w:family w:val="auto"/>
    <w:pitch w:val="default"/>
    <w:sig w:usb0="00000001" w:usb1="080E0000" w:usb2="00000000" w:usb3="00000000" w:csb0="00040000" w:csb1="00000000"/>
    <w:embedRegular r:id="rId8" w:fontKey="{CA61E6FE-2773-449E-8A4C-65D2420434FF}"/>
  </w:font>
  <w:font w:name="方正小标宋简体">
    <w:panose1 w:val="02000000000000000000"/>
    <w:charset w:val="86"/>
    <w:family w:val="auto"/>
    <w:pitch w:val="default"/>
    <w:sig w:usb0="00000001" w:usb1="08000000" w:usb2="00000000" w:usb3="00000000" w:csb0="00040000" w:csb1="00000000"/>
    <w:embedRegular r:id="rId9" w:fontKey="{8920A53B-1765-416A-9E66-EF3ECCA17FC7}"/>
  </w:font>
  <w:font w:name="仿宋_GB2312">
    <w:panose1 w:val="02010609030101010101"/>
    <w:charset w:val="86"/>
    <w:family w:val="auto"/>
    <w:pitch w:val="default"/>
    <w:sig w:usb0="00000001" w:usb1="080E0000" w:usb2="00000000" w:usb3="00000000" w:csb0="00040000" w:csb1="00000000"/>
    <w:embedRegular r:id="rId10" w:fontKey="{E384D11C-65A5-40CB-AF92-9B7794114E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2B1BA">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424C12">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E424C12">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xMzE3ZGQxZGZkMzlmMTdjNTc3MzU5MDEzZjA0ZDQifQ=="/>
  </w:docVars>
  <w:rsids>
    <w:rsidRoot w:val="FFB5C4AB"/>
    <w:rsid w:val="008474AD"/>
    <w:rsid w:val="00B969DE"/>
    <w:rsid w:val="00D9666D"/>
    <w:rsid w:val="00E873F7"/>
    <w:rsid w:val="22F52C18"/>
    <w:rsid w:val="2C51503E"/>
    <w:rsid w:val="36FF4D48"/>
    <w:rsid w:val="375FA9DB"/>
    <w:rsid w:val="3DBEB605"/>
    <w:rsid w:val="3DC77BB4"/>
    <w:rsid w:val="3FCEE5E4"/>
    <w:rsid w:val="4BD6706E"/>
    <w:rsid w:val="569BCEF1"/>
    <w:rsid w:val="5AE7EB92"/>
    <w:rsid w:val="5FE72338"/>
    <w:rsid w:val="6C4D4A17"/>
    <w:rsid w:val="6FDB8B75"/>
    <w:rsid w:val="7EDE4113"/>
    <w:rsid w:val="7F2E3460"/>
    <w:rsid w:val="7FBFF380"/>
    <w:rsid w:val="9FDF5EF5"/>
    <w:rsid w:val="ACF77308"/>
    <w:rsid w:val="BBBB722E"/>
    <w:rsid w:val="BBFE3767"/>
    <w:rsid w:val="CFF99E46"/>
    <w:rsid w:val="DB6F2D62"/>
    <w:rsid w:val="DFFE4F61"/>
    <w:rsid w:val="F26A2ED6"/>
    <w:rsid w:val="FDBF7EE7"/>
    <w:rsid w:val="FDFFAF32"/>
    <w:rsid w:val="FF6F67DF"/>
    <w:rsid w:val="FFB5C4AB"/>
    <w:rsid w:val="FFDFC11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Pages>
  <Words>1844</Words>
  <Characters>1872</Characters>
  <Lines>13</Lines>
  <Paragraphs>3</Paragraphs>
  <TotalTime>5</TotalTime>
  <ScaleCrop>false</ScaleCrop>
  <LinksUpToDate>false</LinksUpToDate>
  <CharactersWithSpaces>1874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2026-03-20T18:53:00Z</dcterms:created>
  <dc:creator> 西北偏北</dc:creator>
  <cp:lastModifiedBy>xll</cp:lastModifiedBy>
  <dcterms:modified xsi:type="dcterms:W3CDTF">2026-03-21T08:52:57Z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99D0DE7F4162862587E1BC69A5C034C9_43</vt:lpwstr>
  </property>
  <property fmtid="{D5CDD505-2E9C-101B-9397-08002B2CF9AE}" pid="4" name="KSOTemplateDocerSaveRecord">
    <vt:lpwstr>eyJoZGlkIjoiZTQ3YTM1MzY4ZjM0ZDk4YjdhMzRlMzQ4NWQwY2U5MWYiLCJ1c2VySWQiOiIxMjc1ODA1MDQ2In0=</vt:lpwstr>
  </property>
</Properties>
</file>