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59138">
      <w:pPr>
        <w:jc w:val="center"/>
        <w:rPr>
          <w:rFonts w:hint="eastAsia"/>
          <w:sz w:val="30"/>
          <w:szCs w:val="30"/>
        </w:rPr>
      </w:pPr>
      <w:r>
        <w:rPr>
          <w:rFonts w:hint="eastAsia"/>
          <w:sz w:val="30"/>
          <w:szCs w:val="30"/>
        </w:rPr>
        <w:t>筑基图强 北京筑牢科技创新“根基”｜科创这五年</w:t>
      </w:r>
    </w:p>
    <w:p w14:paraId="256CBC01">
      <w:pPr>
        <w:rPr>
          <w:rFonts w:hint="eastAsia"/>
          <w:sz w:val="32"/>
          <w:szCs w:val="32"/>
        </w:rPr>
      </w:pPr>
    </w:p>
    <w:p w14:paraId="3A3839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Pr>
      </w:pPr>
      <w:r>
        <w:rPr>
          <w:rStyle w:val="5"/>
        </w:rPr>
        <w:t>科创这五年</w:t>
      </w:r>
    </w:p>
    <w:p w14:paraId="1D03B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rPr>
      </w:pPr>
    </w:p>
    <w:p w14:paraId="47853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spacing w:val="5"/>
          <w:bdr w:val="none" w:color="auto" w:sz="0" w:space="0"/>
        </w:rPr>
        <w:t>“十</w:t>
      </w:r>
      <w:bookmarkStart w:id="0" w:name="_GoBack"/>
      <w:bookmarkEnd w:id="0"/>
      <w:r>
        <w:rPr>
          <w:color w:val="000000"/>
          <w:spacing w:val="5"/>
          <w:bdr w:val="none" w:color="auto" w:sz="0" w:space="0"/>
        </w:rPr>
        <w:t>四五”时期，是北京高标准推进国际科技创新中心建设，锻长板、筑优势、提能级的关键五年。这五年，北京创新力、竞争力、辐射力大幅提升，实现了“五个全球前列”，形成了“五个创新领先”。站在“十五五”新起点，</w:t>
      </w:r>
      <w:r>
        <w:rPr>
          <w:color w:val="000000"/>
          <w:bdr w:val="none" w:color="auto" w:sz="0" w:space="0"/>
        </w:rPr>
        <w:t>北京市科委、中关村管委会特别策划推出</w:t>
      </w:r>
      <w:r>
        <w:rPr>
          <w:b/>
          <w:bCs/>
          <w:bdr w:val="none" w:color="auto" w:sz="0" w:space="0"/>
        </w:rPr>
        <w:t> “科创这五年” 系列专题推文，今天推出第五篇，</w:t>
      </w:r>
      <w:r>
        <w:rPr>
          <w:color w:val="000000"/>
          <w:spacing w:val="5"/>
          <w:bdr w:val="none" w:color="auto" w:sz="0" w:space="0"/>
        </w:rPr>
        <w:t>与您一同回望非凡历程，解锁创新密码，瞭望未来蓝图，看这座创新之城如何锚定未来，再启新程！</w:t>
      </w:r>
    </w:p>
    <w:p w14:paraId="46F06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3A74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基础研究是整个科学体系的源头，是所有技术问题的总机关。“十四五”期间，北京市全面实施基础研究领先行动，在科学版图上书写着原始创新的北京答卷。</w:t>
      </w:r>
    </w:p>
    <w:p w14:paraId="69FB18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CB1D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 w:val="0"/>
          <w:bCs w:val="0"/>
          <w:bdr w:val="none" w:color="auto" w:sz="0" w:space="0"/>
        </w:rPr>
        <w:t>这份深耕细作，正结出累累硕果。北京基础研究投入逐年增加，</w:t>
      </w:r>
      <w:r>
        <w:rPr>
          <w:rStyle w:val="5"/>
          <w:b w:val="0"/>
          <w:bCs w:val="0"/>
          <w:bdr w:val="none" w:color="auto" w:sz="0" w:space="0"/>
        </w:rPr>
        <w:t>2024年北京基础研究经费503.2亿元，位居全国第一</w:t>
      </w:r>
      <w:r>
        <w:rPr>
          <w:b w:val="0"/>
          <w:bCs w:val="0"/>
          <w:bdr w:val="none" w:color="auto" w:sz="0" w:space="0"/>
        </w:rPr>
        <w:t>，占全国基础研究总经费的20.1%。国际科技创新中心-科学中心指数排名由2020年的全球第8大幅提升至2025年的全球第一。</w:t>
      </w:r>
      <w:r>
        <w:rPr>
          <w:rStyle w:val="5"/>
          <w:b w:val="0"/>
          <w:bCs w:val="0"/>
          <w:bdr w:val="none" w:color="auto" w:sz="0" w:space="0"/>
        </w:rPr>
        <w:t>2025年活跃科研人员数量（每百万人）达到5.2万人，首次超越波士顿跃居全球第一。世界一流科研机构200强的数量从2020年的8家增至2025年的13家，连续三年排名世界第一。</w:t>
      </w:r>
    </w:p>
    <w:p w14:paraId="582B7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56BC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 w:val="0"/>
          <w:bCs w:val="0"/>
          <w:bdr w:val="none" w:color="auto" w:sz="0" w:space="0"/>
        </w:rPr>
        <w:t>市自然科学基金</w:t>
      </w:r>
      <w:r>
        <w:rPr>
          <w:b w:val="0"/>
          <w:bCs w:val="0"/>
          <w:bdr w:val="none" w:color="auto" w:sz="0" w:space="0"/>
        </w:rPr>
        <w:t>作为首都基础研究资助体系的重要组成部分，是培育原始创新、汇聚科研人才的重要平台。“十四五”时期，市自然科学</w:t>
      </w:r>
      <w:r>
        <w:rPr>
          <w:bdr w:val="none" w:color="auto" w:sz="0" w:space="0"/>
        </w:rPr>
        <w:t>基金经费规模总计39.5亿元，是“十三五”时期的2.8倍；其中外部经费合计18.6亿元，是“十三五”的5.4倍。2025年，45岁及以下青年人才承担市自然科学基金项目2200余项，是2020年的2.7倍；支持项目发表高水平论文、获国家级奖项等重大成果产出数量均为2020年的3倍以上。</w:t>
      </w:r>
    </w:p>
    <w:p w14:paraId="7733B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795EE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FFB335"/>
          <w:bdr w:val="none" w:color="auto" w:sz="0" w:space="0"/>
        </w:rPr>
        <w:t>全力支撑北京基础研究保持领先</w:t>
      </w:r>
    </w:p>
    <w:p w14:paraId="68DC3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21CE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从关键指标看，基础研究正呈现持续向好的态势。这份深耕，在承接国家战略任务上体现得尤为明显。“十四五”时期，获国家青年科学基金A类项目（国家杰青）和B类项目（国家优青）占全国的25%以上。从项目到平台，创新的根基越扎越深。全国20个国家科学数据中心，我市17个；在京全国重点实验室达145家，占全国28.2%，均稳居全国第一。2025年，北京拥有高被引科学家400人次，位居全国首位，较2020年接近翻番。原创成果量质齐升，在京高校共有20个学科入选ESI全球前万分之一学科，是2020年的4倍；在《细胞》《自然》《科学》等发表论文300余篇，较2020年增长超50%；“十四五”时期，年均入选中国科学十大进展数量5项左右，约占全国的一半。</w:t>
      </w:r>
    </w:p>
    <w:p w14:paraId="34BBD9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E05A5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更令人振奋的，是我市科学家在国际顶级科技奖项上实现多项零的突破，斩获一系列科学荣誉：鄂维南院士成为首位获“麦克斯韦奖”的中国科学家，而且是全球唯一同时获得麦克斯韦奖和科拉兹奖的科学家；王中林院士成为首位获“全球能源奖”的中国科学家；薛其坤院士成为首位获“巴克利奖”的中国科学家；王拥军院士成为首位获“威廉·M·费恩伯格卒中卓越贡献奖”的亚洲科学家。“十四五”时期，在京科学家获具有重要国际影响力的知名基础研究奖项数量已超过此前历史总和。</w:t>
      </w:r>
    </w:p>
    <w:p w14:paraId="61BA94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646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FFB335"/>
          <w:bdr w:val="none" w:color="auto" w:sz="0" w:space="0"/>
        </w:rPr>
        <w:t>创新形成首都基础研究资助范式</w:t>
      </w:r>
    </w:p>
    <w:p w14:paraId="351ED2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制度的破冰，是改革的第一步。《北京市自然科学基金管理办法》（政府令）修订工作实现当年立项、当年修订、当年出台，成为继《国家自然科学基金条例》修订完成后国内首个完成修订的地方基金管理办法；按照“政府令+规范性文件”配套形成“1+N”管理制度体系，已配套出台7个规范性管理文件及若干内部实施细则。同时在市基金资助体系中全面实行经费“包干制+负面清单”管理，开展经费使用情况评估，形成闭环管理工作模式；积极探索医工交叉双PI模式，在非共识创新项目、交叉融合重点项目等探索双负责人制，由临床医生和科研工作者共同担任项目负责人，培养兼备临床应用能力和基础研究能力的学术团队。</w:t>
      </w:r>
    </w:p>
    <w:p w14:paraId="6D52D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9473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让更多“活水”涌入基础研究领域，多元投入机制更加完善。2025年，市自然科学基金吸引外部经费6.11亿元，出资企业和公益基金会数量共55个，分别是2020年的7倍、11倍。“十四五”时期，企业累计出题近2000个，是“十三五”时期的11倍，持续推进揭榜团队与企业建立产学研深度合作关系。</w:t>
      </w:r>
    </w:p>
    <w:p w14:paraId="00ECD7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A57FAA5">
      <w:pPr>
        <w:keepNext w:val="0"/>
        <w:keepLines w:val="0"/>
        <w:widowControl/>
        <w:suppressLineNumbers w:val="0"/>
        <w:jc w:val="left"/>
      </w:pPr>
      <w:r>
        <w:rPr>
          <w:rFonts w:ascii="宋体" w:hAnsi="宋体" w:eastAsia="宋体" w:cs="宋体"/>
          <w:b w:val="0"/>
          <w:bCs w:val="0"/>
          <w:kern w:val="0"/>
          <w:sz w:val="24"/>
          <w:szCs w:val="24"/>
          <w:bdr w:val="none" w:color="auto" w:sz="0" w:space="0"/>
          <w:lang w:val="en-US" w:eastAsia="zh-CN" w:bidi="ar"/>
        </w:rPr>
        <w:t>这一探索创下“三个国内首个”：成为国内首个接受公益组织捐赠的自然科学基金，北京小米公益基金会捐赠5亿元设立北京市自然科学基金-小米创新联合基金；国内首个试点企业出资自然科学基金税收优惠政策的地区，已支持60余家企业享受、合计出资近20亿元；国内首个引导科研团队联合北京地区企业共同申报的区域联合基金（北京）项目，“十四五”时期，国家自然科学基金区域创新发展联合基金（北京）经费规模达7.2亿元，是“十三五”的9倍，资助项目中北京地区企业直接参与占比达72%，引导全国优势科研力量解决本市关键基础科学问题。</w:t>
      </w:r>
    </w:p>
    <w:p w14:paraId="0258F4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11CDF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5266690" cy="3511550"/>
            <wp:effectExtent l="0" t="0" r="3810" b="6350"/>
            <wp:docPr id="8"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56"/>
                    <pic:cNvPicPr>
                      <a:picLocks noChangeAspect="1"/>
                    </pic:cNvPicPr>
                  </pic:nvPicPr>
                  <pic:blipFill>
                    <a:blip r:embed="rId4"/>
                    <a:stretch>
                      <a:fillRect/>
                    </a:stretch>
                  </pic:blipFill>
                  <pic:spPr>
                    <a:xfrm>
                      <a:off x="0" y="0"/>
                      <a:ext cx="5266690" cy="3511550"/>
                    </a:xfrm>
                    <a:prstGeom prst="rect">
                      <a:avLst/>
                    </a:prstGeom>
                    <a:noFill/>
                    <a:ln w="9525">
                      <a:noFill/>
                    </a:ln>
                  </pic:spPr>
                </pic:pic>
              </a:graphicData>
            </a:graphic>
          </wp:inline>
        </w:drawing>
      </w:r>
    </w:p>
    <w:p w14:paraId="05F42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color w:val="7F7979"/>
          <w:sz w:val="12"/>
          <w:szCs w:val="12"/>
          <w:bdr w:val="none" w:color="auto" w:sz="0" w:space="0"/>
        </w:rPr>
        <w:t>图 市基金-小米联合基金2025项目启动会</w:t>
      </w:r>
    </w:p>
    <w:p w14:paraId="5BCE91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EB662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b w:val="0"/>
          <w:bCs w:val="0"/>
          <w:sz w:val="17"/>
          <w:szCs w:val="17"/>
          <w:bdr w:val="none" w:color="auto" w:sz="0" w:space="0"/>
        </w:rPr>
        <w:t>敢于为“少数派”点亮灯火，非共识项目遴选机制应运而生。实现四个“突出”：</w:t>
      </w:r>
      <w:r>
        <w:rPr>
          <w:rStyle w:val="5"/>
          <w:b w:val="0"/>
          <w:bCs w:val="0"/>
          <w:sz w:val="17"/>
          <w:szCs w:val="17"/>
          <w:bdr w:val="none" w:color="auto" w:sz="0" w:space="0"/>
        </w:rPr>
        <w:t>突出原始创新引领，突出专家实名推荐，突出鼓励非共识创新的评价导向，突出宽容失败和过程评估相结合</w:t>
      </w:r>
      <w:r>
        <w:rPr>
          <w:b w:val="0"/>
          <w:bCs w:val="0"/>
          <w:sz w:val="17"/>
          <w:szCs w:val="17"/>
          <w:bdr w:val="none" w:color="auto" w:sz="0" w:space="0"/>
        </w:rPr>
        <w:t>。组建“1个首席科学家+N个跨学科专家”的专家小组，打破“少数服从多数”的常规评审</w:t>
      </w:r>
      <w:r>
        <w:rPr>
          <w:sz w:val="17"/>
          <w:szCs w:val="17"/>
          <w:bdr w:val="none" w:color="auto" w:sz="0" w:space="0"/>
        </w:rPr>
        <w:t>模式，重点围绕项目的非共识性和原创性遴选出72项具有颠覆性潜力的非共识项目，总金额3650万元。例如清华大学唐军旺团队变革性提出光子-声子协同催化新理论，实现温和条件下绿氢制备，质量产氢速率有望超过目前最高纪录7倍并实现几乎零碳排放。</w:t>
      </w:r>
    </w:p>
    <w:p w14:paraId="5986FA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712E2F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5266690" cy="1604645"/>
            <wp:effectExtent l="0" t="0" r="3810" b="8255"/>
            <wp:docPr id="9" name="图片 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57"/>
                    <pic:cNvPicPr>
                      <a:picLocks noChangeAspect="1"/>
                    </pic:cNvPicPr>
                  </pic:nvPicPr>
                  <pic:blipFill>
                    <a:blip r:embed="rId5"/>
                    <a:stretch>
                      <a:fillRect/>
                    </a:stretch>
                  </pic:blipFill>
                  <pic:spPr>
                    <a:xfrm>
                      <a:off x="0" y="0"/>
                      <a:ext cx="5266690" cy="1604645"/>
                    </a:xfrm>
                    <a:prstGeom prst="rect">
                      <a:avLst/>
                    </a:prstGeom>
                    <a:noFill/>
                    <a:ln w="9525">
                      <a:noFill/>
                    </a:ln>
                  </pic:spPr>
                </pic:pic>
              </a:graphicData>
            </a:graphic>
          </wp:inline>
        </w:drawing>
      </w:r>
    </w:p>
    <w:p w14:paraId="4C71F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color w:val="7F7979"/>
          <w:sz w:val="12"/>
          <w:szCs w:val="12"/>
          <w:bdr w:val="none" w:color="auto" w:sz="0" w:space="0"/>
        </w:rPr>
        <w:t>图 非共识创新项目筛选机制示意图</w:t>
      </w:r>
    </w:p>
    <w:p w14:paraId="460C2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4674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青年人才的成长是基础研究最动人的篇章。如今，市基金项目负责人中45岁及以下占比提升至80%以上。为培养造就一批青年拔尖创新人才，市教育科技人才部门共同推动设立基础研究人才专项，首批资助28名优秀青年科技人才，平均年龄34.5岁。为进一步加大对青年人才的支持力度，将青年科学基金项目资助强度由每项10万元提升至20万元、资助数量由130项提升至500项左右。为进一步强化基础研究后备力量，在清华大学、北京大学等10家单位实施本科生“启研”计划，已支持1022名优秀本科生提前开展基础研究。</w:t>
      </w:r>
    </w:p>
    <w:p w14:paraId="02F499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887D19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5266690" cy="2009140"/>
            <wp:effectExtent l="0" t="0" r="3810" b="10160"/>
            <wp:docPr id="10" name="图片 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58"/>
                    <pic:cNvPicPr>
                      <a:picLocks noChangeAspect="1"/>
                    </pic:cNvPicPr>
                  </pic:nvPicPr>
                  <pic:blipFill>
                    <a:blip r:embed="rId6"/>
                    <a:stretch>
                      <a:fillRect/>
                    </a:stretch>
                  </pic:blipFill>
                  <pic:spPr>
                    <a:xfrm>
                      <a:off x="0" y="0"/>
                      <a:ext cx="5266690" cy="2009140"/>
                    </a:xfrm>
                    <a:prstGeom prst="rect">
                      <a:avLst/>
                    </a:prstGeom>
                    <a:noFill/>
                    <a:ln w="9525">
                      <a:noFill/>
                    </a:ln>
                  </pic:spPr>
                </pic:pic>
              </a:graphicData>
            </a:graphic>
          </wp:inline>
        </w:drawing>
      </w:r>
    </w:p>
    <w:p w14:paraId="42821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color w:val="7F7979"/>
          <w:sz w:val="13"/>
          <w:szCs w:val="13"/>
          <w:bdr w:val="none" w:color="auto" w:sz="0" w:space="0"/>
        </w:rPr>
        <w:t>图 “启研”计划实施的10家单位</w:t>
      </w:r>
    </w:p>
    <w:p w14:paraId="6A7449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46CA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根深者叶茂，源远者流长。回望“十四五”，北京基础研究在投入、平台、人才、成果等多个维度实现历史性跨越；展望“十五五”，北京将继续以“十年磨一剑”的定力，厚植原始创新的沃土，让更多“从0到1”的突破在京华大地竞相涌现，为科技创新注入源源不断的源头活水。</w:t>
      </w:r>
    </w:p>
    <w:p w14:paraId="70A72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5F9ED92">
      <w:pPr>
        <w:keepNext w:val="0"/>
        <w:keepLines w:val="0"/>
        <w:widowControl/>
        <w:suppressLineNumbers w:val="0"/>
        <w:jc w:val="left"/>
        <w:rPr>
          <w:rFonts w:hint="eastAsia"/>
          <w:sz w:val="32"/>
          <w:szCs w:val="32"/>
        </w:rPr>
      </w:pPr>
      <w:r>
        <w:rPr>
          <w:rFonts w:ascii="宋体" w:hAnsi="宋体" w:eastAsia="宋体" w:cs="宋体"/>
          <w:kern w:val="0"/>
          <w:sz w:val="24"/>
          <w:szCs w:val="24"/>
          <w:bdr w:val="none" w:color="auto" w:sz="0" w:space="0"/>
          <w:lang w:val="en-US" w:eastAsia="zh-CN" w:bidi="ar"/>
        </w:rPr>
        <w:drawing>
          <wp:inline distT="0" distB="0" distL="114300" distR="114300">
            <wp:extent cx="304800" cy="304800"/>
            <wp:effectExtent l="0" t="0" r="0" b="0"/>
            <wp:docPr id="11" name="图片 1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59"/>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59"/>
    <w:rsid w:val="00265859"/>
    <w:rsid w:val="28D4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NULL"/><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2026-03-19T06:46:00Z</dcterms:created>
  <dc:creator>然</dc:creator>
  <cp:lastModifiedBy>然</cp:lastModifiedBy>
  <dcterms:modified xsi:type="dcterms:W3CDTF">2026-03-19T11:41:36Z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8594D20245F045A0BC2566399C5E7AEB_13</vt:lpwstr>
  </property>
  <property fmtid="{D5CDD505-2E9C-101B-9397-08002B2CF9AE}" pid="4" name="KSOTemplateDocerSaveRecord">
    <vt:lpwstr>eyJoZGlkIjoiN2YzNjBkOTgyNWQ1YTMxYzM3MzMwNWFiODNmOWIzYWMiLCJ1c2VySWQiOiI4ODgzODg0NTIifQ==</vt:lpwstr>
  </property>
</Properties>
</file>