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2078" w14:textId="77777777" w:rsidR="00F64EF3" w:rsidRDefault="00000000">
      <w:pPr>
        <w:pStyle w:val="a8"/>
        <w:rPr>
          <w:rFonts w:hint="eastAsia"/>
        </w:rPr>
      </w:pPr>
      <w:r>
        <w:t>全球健康产业创新中心概念验证平台介绍</w:t>
      </w:r>
    </w:p>
    <w:p w14:paraId="01A29222" w14:textId="77777777" w:rsidR="00F64EF3" w:rsidRDefault="00F64EF3">
      <w:pPr>
        <w:pStyle w:val="a4"/>
        <w:spacing w:line="300" w:lineRule="exact"/>
        <w:ind w:firstLine="616"/>
      </w:pPr>
    </w:p>
    <w:p w14:paraId="54CCE377" w14:textId="6D8644E9" w:rsidR="00F64EF3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一、</w:t>
      </w:r>
      <w:r>
        <w:t>平台建设</w:t>
      </w:r>
      <w:r>
        <w:rPr>
          <w:rFonts w:hint="eastAsia"/>
        </w:rPr>
        <w:t>总</w:t>
      </w:r>
      <w:r>
        <w:t>体成效</w:t>
      </w:r>
    </w:p>
    <w:p w14:paraId="533F2027" w14:textId="530E91F5" w:rsidR="00F64EF3" w:rsidRDefault="00000000">
      <w:pPr>
        <w:pStyle w:val="a4"/>
        <w:ind w:firstLine="616"/>
      </w:pPr>
      <w:r>
        <w:t>全球健康产业创新中心由清华大学工业开发研究院发起设立</w:t>
      </w:r>
      <w:r>
        <w:rPr>
          <w:rFonts w:hint="eastAsia"/>
        </w:rPr>
        <w:t>，是</w:t>
      </w:r>
      <w:r>
        <w:t>全球健康产业创新中心概念验证平台，获北京市科委、中关村管委会首批认定并持续支持，是北京医疗健康领域极具影响力的创新成果转化平台。</w:t>
      </w:r>
    </w:p>
    <w:p w14:paraId="37C147E4" w14:textId="710252D2" w:rsidR="00F64EF3" w:rsidRDefault="00000000">
      <w:pPr>
        <w:pStyle w:val="a4"/>
        <w:ind w:firstLine="616"/>
      </w:pPr>
      <w:r>
        <w:t>平台以项目挖掘为起点，依托</w:t>
      </w:r>
      <w:r>
        <w:t xml:space="preserve"> “</w:t>
      </w:r>
      <w:r>
        <w:t>探索计划</w:t>
      </w:r>
      <w:r>
        <w:t>”“</w:t>
      </w:r>
      <w:r>
        <w:t>领航计划</w:t>
      </w:r>
      <w:r>
        <w:t>”“</w:t>
      </w:r>
      <w:r>
        <w:t>启新计划</w:t>
      </w:r>
      <w:r>
        <w:t xml:space="preserve">” </w:t>
      </w:r>
      <w:r>
        <w:t>等专项，与清华、北理工、北航、北邮、中科院等国内外高校建立合作关系，并与协和医院、北京大学第一医院、北京大学人民医院等三甲医院建立密切合作网络，形成了以医生、教授为核心的源头创新生态体系。累计发现医疗器械</w:t>
      </w:r>
      <w:r>
        <w:rPr>
          <w:rFonts w:hint="eastAsia"/>
        </w:rPr>
        <w:t>、</w:t>
      </w:r>
      <w:r>
        <w:t>基因与细胞治疗、人工智能等创新项目</w:t>
      </w:r>
      <w:r>
        <w:t>3820</w:t>
      </w:r>
      <w:r>
        <w:t>余项，覆盖全国</w:t>
      </w:r>
      <w:r>
        <w:t>76</w:t>
      </w:r>
      <w:r>
        <w:t>家医院的</w:t>
      </w:r>
      <w:r>
        <w:t>80</w:t>
      </w:r>
      <w:r>
        <w:t>个临床科室、</w:t>
      </w:r>
      <w:r>
        <w:t>22</w:t>
      </w:r>
      <w:r>
        <w:t>所高校的</w:t>
      </w:r>
      <w:r>
        <w:t>38</w:t>
      </w:r>
      <w:r>
        <w:t>个专业。</w:t>
      </w:r>
    </w:p>
    <w:p w14:paraId="0CEFD9DC" w14:textId="77777777" w:rsidR="00F64EF3" w:rsidRDefault="00000000">
      <w:pPr>
        <w:widowControl/>
        <w:spacing w:line="36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114300" distR="114300" wp14:anchorId="5ED1E85C" wp14:editId="35CBFBAC">
            <wp:extent cx="5271135" cy="3051810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9334" w14:textId="000EA957" w:rsidR="00F64EF3" w:rsidRDefault="00000000">
      <w:pPr>
        <w:pStyle w:val="a4"/>
        <w:ind w:firstLine="616"/>
      </w:pPr>
      <w:r>
        <w:lastRenderedPageBreak/>
        <w:t>挖掘优质项目后，平台首要开展可行性</w:t>
      </w:r>
      <w:proofErr w:type="gramStart"/>
      <w:r>
        <w:t>研</w:t>
      </w:r>
      <w:proofErr w:type="gramEnd"/>
      <w:r>
        <w:t>判与分类，组建专业团队对入库项目进行</w:t>
      </w:r>
      <w:r w:rsidRPr="00A011B3">
        <w:rPr>
          <w:rFonts w:hint="eastAsia"/>
        </w:rPr>
        <w:t>概念验证和可行性分析</w:t>
      </w:r>
      <w:r>
        <w:t>，结合技术特点、成熟度与转化需求完成科学分类，针对性推进后续服务；同时为项目提供技术加工与样品试制，通过定制化概念验证服务，助力项目完成产品定义、研发设计、快速打样、性能测试到临床验证的全流程打磨，累计开展概念验证项目</w:t>
      </w:r>
      <w:r>
        <w:t xml:space="preserve"> 45 </w:t>
      </w:r>
      <w:r>
        <w:t>项，完成</w:t>
      </w:r>
      <w:r>
        <w:t xml:space="preserve"> 16 </w:t>
      </w:r>
      <w:r>
        <w:t>台样品（机）试制，推动</w:t>
      </w:r>
      <w:r>
        <w:t xml:space="preserve"> 30 </w:t>
      </w:r>
      <w:r>
        <w:t>项专利在京转化，切实提升项目成熟度。</w:t>
      </w:r>
    </w:p>
    <w:p w14:paraId="676D1A43" w14:textId="77777777" w:rsidR="00F64EF3" w:rsidRDefault="00000000">
      <w:pPr>
        <w:pStyle w:val="a4"/>
        <w:ind w:firstLine="616"/>
        <w:rPr>
          <w:rFonts w:cs="Times New Roman"/>
        </w:rPr>
      </w:pPr>
      <w:r>
        <w:t>在完成概念验证后，平台持续跟进</w:t>
      </w:r>
      <w:r>
        <w:rPr>
          <w:rFonts w:hint="eastAsia"/>
        </w:rPr>
        <w:t>项目，</w:t>
      </w:r>
      <w:r>
        <w:t>提供孵化加速全链条支持，为项目匹配空间载体、技术、临床、注册认证、产业、资本全维度资源，通过孵化、投资、加速、品牌赋能等多重举措，推动项目从实验室走向产业端。累计孵化、投资图湃医疗，未磁科技，超目科技，曦健科技等</w:t>
      </w:r>
      <w:r>
        <w:t xml:space="preserve"> 30 </w:t>
      </w:r>
      <w:r>
        <w:t>家企业，项目总估值超</w:t>
      </w:r>
      <w:r>
        <w:t xml:space="preserve"> 90 </w:t>
      </w:r>
      <w:r>
        <w:t>亿元。</w:t>
      </w:r>
    </w:p>
    <w:p w14:paraId="5F957D84" w14:textId="77777777" w:rsidR="00F64EF3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二、</w:t>
      </w:r>
      <w:r>
        <w:t>平台核心建设思路</w:t>
      </w:r>
    </w:p>
    <w:p w14:paraId="04FD107E" w14:textId="2492B77B" w:rsidR="00F64EF3" w:rsidRDefault="00000000">
      <w:pPr>
        <w:pStyle w:val="a4"/>
        <w:ind w:firstLine="616"/>
      </w:pPr>
      <w:r>
        <w:t>平台围绕医疗器械、诊断技术、再生医学等医疗健康核心领域，立足北京医疗健康产业资源优势，以构建医疗器械产学研</w:t>
      </w:r>
      <w:proofErr w:type="gramStart"/>
      <w:r>
        <w:t>医</w:t>
      </w:r>
      <w:proofErr w:type="gramEnd"/>
      <w:r>
        <w:t>协同转化体系为核心思路，打通</w:t>
      </w:r>
      <w:r>
        <w:t xml:space="preserve"> “</w:t>
      </w:r>
      <w:r>
        <w:t>基础研究</w:t>
      </w:r>
      <w:r>
        <w:rPr>
          <w:rFonts w:hint="eastAsia"/>
        </w:rPr>
        <w:t>—</w:t>
      </w:r>
      <w:r>
        <w:t>应用研发</w:t>
      </w:r>
      <w:r>
        <w:rPr>
          <w:rFonts w:hint="eastAsia"/>
        </w:rPr>
        <w:t>—</w:t>
      </w:r>
      <w:r>
        <w:t>产品研制</w:t>
      </w:r>
      <w:r>
        <w:rPr>
          <w:rFonts w:hint="eastAsia"/>
        </w:rPr>
        <w:t>—</w:t>
      </w:r>
      <w:r>
        <w:t>产业落地</w:t>
      </w:r>
      <w:r>
        <w:t xml:space="preserve">” </w:t>
      </w:r>
      <w:r>
        <w:t>创新链条，打造</w:t>
      </w:r>
      <w:r>
        <w:t xml:space="preserve"> “</w:t>
      </w:r>
      <w:r>
        <w:t>发现</w:t>
      </w:r>
      <w:r>
        <w:rPr>
          <w:rFonts w:hint="eastAsia"/>
        </w:rPr>
        <w:t>—</w:t>
      </w:r>
      <w:r>
        <w:t>验证</w:t>
      </w:r>
      <w:r>
        <w:rPr>
          <w:rFonts w:hint="eastAsia"/>
        </w:rPr>
        <w:t>—</w:t>
      </w:r>
      <w:r>
        <w:t>孵化</w:t>
      </w:r>
      <w:r>
        <w:rPr>
          <w:rFonts w:hint="eastAsia"/>
        </w:rPr>
        <w:t>—</w:t>
      </w:r>
      <w:r>
        <w:t>加速</w:t>
      </w:r>
      <w:r>
        <w:rPr>
          <w:rFonts w:hint="eastAsia"/>
        </w:rPr>
        <w:t>—</w:t>
      </w:r>
      <w:r>
        <w:t>投资</w:t>
      </w:r>
      <w:r>
        <w:rPr>
          <w:rFonts w:hint="eastAsia"/>
        </w:rPr>
        <w:t>—</w:t>
      </w:r>
      <w:r>
        <w:t>品牌赋能</w:t>
      </w:r>
      <w:r>
        <w:t xml:space="preserve">” </w:t>
      </w:r>
      <w:r>
        <w:t>的全流程成果转化体系。</w:t>
      </w:r>
    </w:p>
    <w:p w14:paraId="7B6E5596" w14:textId="77777777" w:rsidR="00F64EF3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三、</w:t>
      </w:r>
      <w:r>
        <w:t>平台建设方式方法</w:t>
      </w:r>
    </w:p>
    <w:p w14:paraId="52D654F3" w14:textId="77777777" w:rsidR="00F64EF3" w:rsidRDefault="00000000">
      <w:pPr>
        <w:pStyle w:val="a4"/>
        <w:ind w:firstLine="616"/>
      </w:pPr>
      <w:r>
        <w:t>平台通过三大方式方法推进建设：一是标准化体系建设，构建全流程制度体系、制定标准化服务模板、建立规范化台账</w:t>
      </w:r>
      <w:r>
        <w:rPr>
          <w:rFonts w:hint="eastAsia"/>
        </w:rPr>
        <w:t>、</w:t>
      </w:r>
      <w:r>
        <w:t>夯实服务基础；二是专业化能力打造，完善硬件设施、配置全维度人才队</w:t>
      </w:r>
      <w:r>
        <w:rPr>
          <w:rFonts w:hint="eastAsia"/>
        </w:rPr>
        <w:lastRenderedPageBreak/>
        <w:t>伍</w:t>
      </w:r>
      <w:r>
        <w:t>、培育核心服务能力，还为项目提供定制化概念验证全流程服务，强化核心支撑；三是多渠道资源整合，按四大类别整合资源建库，秉持伙伴式服务理念全程陪伴项目，构建产学研医资协同生态。</w:t>
      </w:r>
    </w:p>
    <w:p w14:paraId="0385D90E" w14:textId="77777777" w:rsidR="00F64EF3" w:rsidRDefault="00F64EF3">
      <w:pPr>
        <w:pStyle w:val="a4"/>
        <w:ind w:firstLine="616"/>
      </w:pPr>
    </w:p>
    <w:sectPr w:rsidR="00F64EF3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D639" w14:textId="77777777" w:rsidR="00C113C4" w:rsidRDefault="00C113C4">
      <w:r>
        <w:separator/>
      </w:r>
    </w:p>
  </w:endnote>
  <w:endnote w:type="continuationSeparator" w:id="0">
    <w:p w14:paraId="074CDF17" w14:textId="77777777" w:rsidR="00C113C4" w:rsidRDefault="00C1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C398" w14:textId="77777777" w:rsidR="00F64EF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2BEB0" wp14:editId="4BDA5189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C42D8" w14:textId="77777777" w:rsidR="00F64EF3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2BEB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630C42D8" w14:textId="77777777" w:rsidR="00F64EF3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E638" w14:textId="77777777" w:rsidR="00F64EF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6C851" wp14:editId="14EF9336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95F3E" w14:textId="77777777" w:rsidR="00F64EF3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6C8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" filled="f" stroked="f" strokeweight=".5pt">
              <v:textbox style="mso-fit-shape-to-text:t" inset="16pt,0,16pt,0">
                <w:txbxContent>
                  <w:p w14:paraId="07195F3E" w14:textId="77777777" w:rsidR="00F64EF3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6278" w14:textId="77777777" w:rsidR="00C113C4" w:rsidRDefault="00C113C4">
      <w:r>
        <w:separator/>
      </w:r>
    </w:p>
  </w:footnote>
  <w:footnote w:type="continuationSeparator" w:id="0">
    <w:p w14:paraId="72D9F696" w14:textId="77777777" w:rsidR="00C113C4" w:rsidRDefault="00C1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205051"/>
    <w:rsid w:val="0012493A"/>
    <w:rsid w:val="0055108B"/>
    <w:rsid w:val="00613686"/>
    <w:rsid w:val="0062019B"/>
    <w:rsid w:val="0066454C"/>
    <w:rsid w:val="006B0D0E"/>
    <w:rsid w:val="00A011B3"/>
    <w:rsid w:val="00A8163F"/>
    <w:rsid w:val="00C113C4"/>
    <w:rsid w:val="00D2649A"/>
    <w:rsid w:val="00E96562"/>
    <w:rsid w:val="00F64EF3"/>
    <w:rsid w:val="10E758E1"/>
    <w:rsid w:val="1A341A98"/>
    <w:rsid w:val="1D7F3D12"/>
    <w:rsid w:val="1F375E7E"/>
    <w:rsid w:val="35611C20"/>
    <w:rsid w:val="366E5DC9"/>
    <w:rsid w:val="465F0D84"/>
    <w:rsid w:val="466C5DA5"/>
    <w:rsid w:val="5634449C"/>
    <w:rsid w:val="58A76A0B"/>
    <w:rsid w:val="6DF47FAC"/>
    <w:rsid w:val="72E22DA1"/>
    <w:rsid w:val="7920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292214E-4A63-4B5C-B8F1-D749B228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方正楷体_GB2312" w:cs="方正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8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styleId="a9">
    <w:name w:val="Strong"/>
    <w:basedOn w:val="a0"/>
    <w:qFormat/>
    <w:rPr>
      <w:b/>
    </w:rPr>
  </w:style>
  <w:style w:type="paragraph" w:styleId="aa">
    <w:name w:val="No Spacing"/>
    <w:autoRedefine/>
    <w:uiPriority w:val="1"/>
    <w:qFormat/>
    <w:rPr>
      <w:rFonts w:ascii="Arial" w:eastAsiaTheme="minorEastAsia" w:hAnsi="Arial" w:cstheme="minorBidi"/>
      <w:sz w:val="22"/>
      <w:szCs w:val="22"/>
    </w:r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Revision"/>
    <w:hidden/>
    <w:uiPriority w:val="99"/>
    <w:unhideWhenUsed/>
    <w:rsid w:val="0066454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>Organization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kangjingyi</dc:creator>
  <cp:lastModifiedBy>飞飞 谢</cp:lastModifiedBy>
  <cp:revision>4</cp:revision>
  <dcterms:created xsi:type="dcterms:W3CDTF">2026-03-13T01:26:00Z</dcterms:created>
  <dcterms:modified xsi:type="dcterms:W3CDTF">2026-03-13T01:31:00Z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C4814EC8DF4D40AC8C2E59B975FABF44_13</vt:lpwstr>
  </property>
  <property fmtid="{D5CDD505-2E9C-101B-9397-08002B2CF9AE}" pid="4" name="KSOTemplateDocerSaveRecord">
    <vt:lpwstr>eyJoZGlkIjoiODJkMzYyMmI0MmE2YjA2Mjk1ZDFkYWU0MmFmMzVkMDIiLCJ1c2VySWQiOiIyODkxNjQ2NjkifQ==</vt:lpwstr>
  </property>
</Properties>
</file>