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9AEC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关于北京市基础研究“十四五”工作成效和</w:t>
      </w:r>
    </w:p>
    <w:p w14:paraId="4DE3A0B6">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“十五五”工作计划的报告</w:t>
      </w:r>
    </w:p>
    <w:p w14:paraId="30994B16">
      <w:pPr>
        <w:spacing w:line="600" w:lineRule="exact"/>
        <w:ind w:firstLine="720" w:firstLineChars="200"/>
        <w:jc w:val="left"/>
        <w:rPr>
          <w:rFonts w:hint="eastAsia" w:ascii="仿宋_GB2312" w:hAnsi="仿宋_GB2312" w:eastAsia="仿宋_GB2312" w:cs="仿宋_GB2312"/>
          <w:sz w:val="36"/>
          <w:szCs w:val="36"/>
        </w:rPr>
      </w:pPr>
    </w:p>
    <w:p w14:paraId="03E24870">
      <w:pPr>
        <w:spacing w:line="600" w:lineRule="exact"/>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各位媒体朋友：</w:t>
      </w:r>
    </w:p>
    <w:p w14:paraId="1B01A211">
      <w:pPr>
        <w:spacing w:line="600" w:lineRule="exact"/>
        <w:ind w:firstLine="720" w:firstLineChars="200"/>
        <w:rPr>
          <w:rFonts w:hint="eastAsia" w:ascii="仿宋_GB2312" w:hAnsi="仿宋_GB2312" w:eastAsia="仿宋_GB2312" w:cs="仿宋_GB2312"/>
          <w:sz w:val="36"/>
          <w:szCs w:val="36"/>
        </w:rPr>
      </w:pPr>
      <w:r>
        <w:rPr>
          <w:rFonts w:ascii="仿宋_GB2312" w:hAnsi="仿宋_GB2312" w:eastAsia="仿宋_GB2312" w:cs="仿宋_GB2312"/>
          <w:sz w:val="36"/>
          <w:szCs w:val="36"/>
        </w:rPr>
        <w:t>大家好！</w:t>
      </w:r>
    </w:p>
    <w:p w14:paraId="28B3348D">
      <w:pPr>
        <w:spacing w:line="600" w:lineRule="exact"/>
        <w:ind w:firstLine="720" w:firstLineChars="200"/>
        <w:rPr>
          <w:rFonts w:hint="eastAsia" w:ascii="仿宋_GB2312" w:hAnsi="仿宋_GB2312" w:eastAsia="仿宋_GB2312" w:cs="仿宋_GB2312"/>
          <w:sz w:val="36"/>
          <w:szCs w:val="36"/>
        </w:rPr>
      </w:pPr>
      <w:r>
        <w:rPr>
          <w:rFonts w:ascii="仿宋_GB2312" w:hAnsi="仿宋_GB2312" w:eastAsia="仿宋_GB2312" w:cs="仿宋_GB2312"/>
          <w:sz w:val="36"/>
          <w:szCs w:val="36"/>
        </w:rPr>
        <w:t>非常</w:t>
      </w:r>
      <w:r>
        <w:rPr>
          <w:rFonts w:hint="eastAsia" w:ascii="仿宋_GB2312" w:hAnsi="仿宋_GB2312" w:eastAsia="仿宋_GB2312" w:cs="仿宋_GB2312"/>
          <w:sz w:val="36"/>
          <w:szCs w:val="36"/>
        </w:rPr>
        <w:t>荣幸</w:t>
      </w:r>
      <w:r>
        <w:rPr>
          <w:rFonts w:ascii="仿宋_GB2312" w:hAnsi="仿宋_GB2312" w:eastAsia="仿宋_GB2312" w:cs="仿宋_GB2312"/>
          <w:sz w:val="36"/>
          <w:szCs w:val="36"/>
        </w:rPr>
        <w:t>参加本次座谈会，与大家交流北京市基础研究</w:t>
      </w:r>
      <w:r>
        <w:rPr>
          <w:rFonts w:hint="eastAsia" w:ascii="仿宋_GB2312" w:hAnsi="仿宋_GB2312" w:eastAsia="仿宋_GB2312" w:cs="仿宋_GB2312"/>
          <w:sz w:val="36"/>
          <w:szCs w:val="36"/>
        </w:rPr>
        <w:t>相关工作</w:t>
      </w:r>
      <w:r>
        <w:rPr>
          <w:rFonts w:ascii="仿宋_GB2312" w:hAnsi="仿宋_GB2312" w:eastAsia="仿宋_GB2312" w:cs="仿宋_GB2312"/>
          <w:sz w:val="36"/>
          <w:szCs w:val="36"/>
        </w:rPr>
        <w:t>。衷心感谢各位媒体朋友长期以来，对北京基础研究工作</w:t>
      </w:r>
      <w:r>
        <w:rPr>
          <w:rFonts w:hint="eastAsia" w:ascii="仿宋_GB2312" w:hAnsi="仿宋_GB2312" w:eastAsia="仿宋_GB2312" w:cs="仿宋_GB2312"/>
          <w:sz w:val="36"/>
          <w:szCs w:val="36"/>
        </w:rPr>
        <w:t>的</w:t>
      </w:r>
      <w:r>
        <w:rPr>
          <w:rFonts w:ascii="仿宋_GB2312" w:hAnsi="仿宋_GB2312" w:eastAsia="仿宋_GB2312" w:cs="仿宋_GB2312"/>
          <w:sz w:val="36"/>
          <w:szCs w:val="36"/>
        </w:rPr>
        <w:t>关注</w:t>
      </w:r>
      <w:r>
        <w:rPr>
          <w:rFonts w:hint="eastAsia" w:ascii="仿宋_GB2312" w:hAnsi="仿宋_GB2312" w:eastAsia="仿宋_GB2312" w:cs="仿宋_GB2312"/>
          <w:sz w:val="36"/>
          <w:szCs w:val="36"/>
        </w:rPr>
        <w:t>和</w:t>
      </w:r>
      <w:r>
        <w:rPr>
          <w:rFonts w:ascii="仿宋_GB2312" w:hAnsi="仿宋_GB2312" w:eastAsia="仿宋_GB2312" w:cs="仿宋_GB2312"/>
          <w:sz w:val="36"/>
          <w:szCs w:val="36"/>
        </w:rPr>
        <w:t>支持</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下面，我就相关情况作简要介绍。</w:t>
      </w:r>
    </w:p>
    <w:p w14:paraId="7DF3DEE9">
      <w:pPr>
        <w:spacing w:line="60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一、“十四五”工作成效</w:t>
      </w:r>
    </w:p>
    <w:p w14:paraId="0FBB7ABF">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“十四五”</w:t>
      </w:r>
      <w:r>
        <w:rPr>
          <w:rFonts w:hint="eastAsia" w:ascii="仿宋_GB2312" w:hAnsi="仿宋_GB2312" w:eastAsia="仿宋_GB2312" w:cs="仿宋_GB2312"/>
          <w:sz w:val="36"/>
          <w:szCs w:val="36"/>
          <w:lang w:val="en-US" w:eastAsia="zh-CN"/>
        </w:rPr>
        <w:t>时期</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是北京加快建设国际科技创新中心、强化原始创新策源能力的关键五年。</w:t>
      </w:r>
      <w:r>
        <w:rPr>
          <w:rFonts w:hint="eastAsia" w:ascii="仿宋_GB2312" w:hAnsi="仿宋_GB2312" w:eastAsia="仿宋_GB2312" w:cs="仿宋_GB2312"/>
          <w:sz w:val="36"/>
          <w:szCs w:val="36"/>
        </w:rPr>
        <w:t>在市委市政府的领导下，我们始终坚持以习近平新时代中国特色社会主义思想为指导，全面贯彻落实党的二十大和二十届</w:t>
      </w:r>
      <w:bookmarkStart w:id="0" w:name="_GoBack"/>
      <w:bookmarkEnd w:id="0"/>
      <w:r>
        <w:rPr>
          <w:rFonts w:hint="eastAsia"/>
        </w:rPr>
        <w:t>二中、三中、四中全会精神</w:t>
      </w:r>
      <w:r>
        <w:rPr>
          <w:rFonts w:hint="eastAsia" w:ascii="仿宋_GB2312" w:hAnsi="仿宋_GB2312" w:eastAsia="仿宋_GB2312" w:cs="仿宋_GB2312"/>
          <w:sz w:val="36"/>
          <w:szCs w:val="36"/>
        </w:rPr>
        <w:t>以及全国科技大会精神，深入贯彻落实习近平总书记关于基础研究的重要论述，加快实施基础研究领先行动，坚持自由探索和目标导向“两条腿走路”，统筹推进基础研究平台建设、人才引育、体制机制改革等重点工作。全市基础研究综合实力稳步增强，取得了良好的成效。</w:t>
      </w:r>
    </w:p>
    <w:p w14:paraId="2660ACA8">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一是国家战略任务承载能力持续提升。</w:t>
      </w:r>
      <w:r>
        <w:rPr>
          <w:rFonts w:hint="eastAsia" w:ascii="仿宋_GB2312" w:hAnsi="仿宋_GB2312" w:eastAsia="仿宋_GB2312" w:cs="仿宋_GB2312"/>
          <w:sz w:val="36"/>
          <w:szCs w:val="36"/>
        </w:rPr>
        <w:t>北京作为全国主要原始创新策源地，在服务国家战略需求，承接国家重大基础研究任务方面始终走在前列。“十四五”期间，北京地区科研团队承担基础研究相关国家重点研发计划经费占比在25%以上，获得国家自然科学基金资助项目经费占比20%左右。作为国家级平台的重要承载地，怀柔综合性国家科学中心29个科技设施平台进入科研状态，17个科技设施面向全球开放共享，累计共享机时超177万小时，为全球科研工作者提供良好基础研究条件。</w:t>
      </w:r>
    </w:p>
    <w:p w14:paraId="65CC7681">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二是科技基础能力不断加强。</w:t>
      </w:r>
      <w:r>
        <w:rPr>
          <w:rFonts w:hint="eastAsia" w:ascii="仿宋_GB2312" w:hAnsi="仿宋_GB2312" w:eastAsia="仿宋_GB2312" w:cs="仿宋_GB2312"/>
          <w:sz w:val="36"/>
          <w:szCs w:val="36"/>
        </w:rPr>
        <w:t>支持在京国家实验室发挥总平台、总链长作用，服务保障4家在京国家实验室；在京全国重点实验室达145家，占全国28.2%；重组北京市重点实验室达401家；在量子信息、脑科学与类脑等前沿领域建设10家新型研发机构，形成国家实验室、重点实验室、新型研发机构协同发力的原始创新格局。科研机构实力稳步提升，世界一流科研机构200强数量增至13家</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连续三年排名全球第一</w:t>
      </w:r>
      <w:r>
        <w:rPr>
          <w:rFonts w:hint="eastAsia" w:ascii="仿宋_GB2312" w:hAnsi="仿宋_GB2312" w:eastAsia="仿宋_GB2312" w:cs="仿宋_GB2312"/>
          <w:sz w:val="36"/>
          <w:szCs w:val="36"/>
        </w:rPr>
        <w:t>。全国20个国家科学数据中心，北京有17个。SCI期刊数量130余种，占全国近一半，全球影响力和话语权持续提升。</w:t>
      </w:r>
    </w:p>
    <w:p w14:paraId="6FEB2C05">
      <w:pPr>
        <w:widowControl/>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三是人才培养成效显著</w:t>
      </w:r>
      <w:r>
        <w:rPr>
          <w:rFonts w:hint="eastAsia" w:ascii="仿宋_GB2312" w:hAnsi="仿宋_GB2312" w:eastAsia="仿宋_GB2312" w:cs="仿宋_GB2312"/>
          <w:sz w:val="36"/>
          <w:szCs w:val="36"/>
        </w:rPr>
        <w:t>。北京始终把人才作为第一资源，全力建设高水平人才高地。2025年每百万人中活跃科研人员数量达到5.2万人，首次超越波士顿（5.1万人）跃居全球第一；高被引科学家400人次，较2020年接近翻番。</w:t>
      </w:r>
      <w:r>
        <w:rPr>
          <w:rFonts w:hint="eastAsia" w:ascii="仿宋_GB2312" w:hAnsi="仿宋_GB2312" w:eastAsia="仿宋_GB2312" w:cs="仿宋_GB2312"/>
          <w:sz w:val="36"/>
          <w:szCs w:val="36"/>
          <w:lang w:bidi="ar"/>
        </w:rPr>
        <w:t>我们注重青年人才培养，让青年人才挑大梁、当主角。</w:t>
      </w:r>
      <w:r>
        <w:rPr>
          <w:rFonts w:hint="eastAsia" w:ascii="仿宋_GB2312" w:hAnsi="仿宋_GB2312" w:eastAsia="仿宋_GB2312" w:cs="仿宋_GB2312"/>
          <w:sz w:val="36"/>
          <w:szCs w:val="36"/>
        </w:rPr>
        <w:t>2025年，市自然科学基金支持45岁及以下项目负责人达2200余人，是2020年的近3倍，占项目负责人总数的比重已达80%以上。在清华大学、北京大学等10家单位实施本科生“启研”计划，已支持1022</w:t>
      </w:r>
      <w:r>
        <w:rPr>
          <w:rFonts w:hint="eastAsia" w:ascii="仿宋_GB2312" w:hAnsi="仿宋_GB2312" w:eastAsia="仿宋_GB2312" w:cs="仿宋_GB2312"/>
          <w:sz w:val="36"/>
          <w:szCs w:val="36"/>
          <w:lang w:eastAsia="zh-CN"/>
        </w:rPr>
        <w:t>名</w:t>
      </w:r>
      <w:r>
        <w:rPr>
          <w:rFonts w:hint="eastAsia" w:ascii="仿宋_GB2312" w:hAnsi="仿宋_GB2312" w:eastAsia="仿宋_GB2312" w:cs="仿宋_GB2312"/>
          <w:sz w:val="36"/>
          <w:szCs w:val="36"/>
        </w:rPr>
        <w:t>优秀本科生提前开展基础研究</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毕业的项目负责人中，286人直博深造，占比72%</w:t>
      </w:r>
      <w:r>
        <w:rPr>
          <w:rFonts w:hint="eastAsia" w:ascii="仿宋_GB2312" w:hAnsi="仿宋_GB2312" w:eastAsia="仿宋_GB2312" w:cs="仿宋_GB2312"/>
          <w:sz w:val="36"/>
          <w:szCs w:val="36"/>
          <w:lang w:bidi="ar"/>
        </w:rPr>
        <w:t>，</w:t>
      </w:r>
      <w:r>
        <w:rPr>
          <w:rFonts w:hint="eastAsia" w:ascii="仿宋_GB2312" w:hAnsi="仿宋_GB2312" w:eastAsia="仿宋_GB2312" w:cs="仿宋_GB2312"/>
          <w:sz w:val="36"/>
          <w:szCs w:val="36"/>
          <w:lang w:val="en-US" w:eastAsia="zh-CN" w:bidi="ar"/>
        </w:rPr>
        <w:t>持续涵养</w:t>
      </w:r>
      <w:r>
        <w:rPr>
          <w:rFonts w:hint="eastAsia" w:ascii="仿宋_GB2312" w:hAnsi="仿宋_GB2312" w:eastAsia="仿宋_GB2312" w:cs="仿宋_GB2312"/>
          <w:sz w:val="36"/>
          <w:szCs w:val="36"/>
          <w:lang w:bidi="ar"/>
        </w:rPr>
        <w:t>基础研究后备力量。</w:t>
      </w:r>
    </w:p>
    <w:p w14:paraId="2C04B101">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四是改革创新纵深推进。</w:t>
      </w:r>
      <w:r>
        <w:rPr>
          <w:rFonts w:hint="eastAsia" w:ascii="仿宋_GB2312" w:hAnsi="仿宋_GB2312" w:eastAsia="仿宋_GB2312" w:cs="仿宋_GB2312"/>
          <w:color w:val="000000"/>
          <w:sz w:val="36"/>
          <w:szCs w:val="36"/>
        </w:rPr>
        <w:t>率先落实党的二十届三中全会《决定》与国家自然科学基金条例管理改革要求，在全国率先修订出台《北京市自然科学基金管理办法》。</w:t>
      </w:r>
      <w:r>
        <w:rPr>
          <w:rFonts w:hint="eastAsia" w:ascii="仿宋_GB2312" w:hAnsi="仿宋_GB2312" w:eastAsia="仿宋_GB2312" w:cs="仿宋_GB2312"/>
          <w:sz w:val="36"/>
          <w:szCs w:val="36"/>
        </w:rPr>
        <w:t>市教育科技人才部门共同推动设立基础研究人才专项，首批资助的优秀青年科技人才平均年龄34.5岁。</w:t>
      </w:r>
      <w:r>
        <w:rPr>
          <w:rFonts w:hint="eastAsia" w:ascii="仿宋_GB2312" w:hAnsi="仿宋_GB2312" w:eastAsia="仿宋_GB2312" w:cs="仿宋_GB2312"/>
          <w:sz w:val="36"/>
          <w:szCs w:val="36"/>
          <w:lang w:val="en-US" w:eastAsia="zh-CN"/>
        </w:rPr>
        <w:t>在全国</w:t>
      </w:r>
      <w:r>
        <w:rPr>
          <w:rFonts w:hint="eastAsia" w:ascii="仿宋_GB2312" w:hAnsi="仿宋_GB2312" w:eastAsia="仿宋_GB2312" w:cs="仿宋_GB2312"/>
          <w:sz w:val="36"/>
          <w:szCs w:val="36"/>
        </w:rPr>
        <w:t>率先探索建立专家实名推荐的非共识项目遴选机制，打破“少数服从多数”的常规评审模式，重点围绕项目的非共识性和原创性遴选优秀项目，首批支持的72个项目中，78%的项目具有颠覆性潜力、有望开辟新赛道；22%的项目探索国际空白领域、有望抢占学术制高点。今天，我们的非共识项目负责人和推荐专家在会场，一会他们也会介绍相关情况。市自然科学基金全面推行“包干制+负面清单”管理，最大限度赋予科研人员经费使用自主权。</w:t>
      </w:r>
    </w:p>
    <w:p w14:paraId="4B075080">
      <w:pPr>
        <w:widowControl/>
        <w:spacing w:line="600" w:lineRule="exact"/>
        <w:ind w:firstLine="723" w:firstLineChars="200"/>
        <w:rPr>
          <w:rFonts w:hint="eastAsia" w:ascii="仿宋_GB2312" w:hAnsi="仿宋_GB2312" w:eastAsia="仿宋_GB2312" w:cs="仿宋_GB2312"/>
          <w:b w:val="0"/>
          <w:bCs w:val="0"/>
          <w:sz w:val="36"/>
          <w:szCs w:val="36"/>
        </w:rPr>
      </w:pPr>
      <w:r>
        <w:rPr>
          <w:rFonts w:hint="eastAsia" w:ascii="仿宋_GB2312" w:hAnsi="仿宋_GB2312" w:eastAsia="仿宋_GB2312" w:cs="仿宋_GB2312"/>
          <w:b/>
          <w:bCs/>
          <w:sz w:val="36"/>
          <w:szCs w:val="36"/>
        </w:rPr>
        <w:t>五是原创成果量质齐升。</w:t>
      </w:r>
      <w:r>
        <w:rPr>
          <w:rFonts w:hint="eastAsia" w:ascii="仿宋_GB2312" w:hAnsi="仿宋_GB2312" w:eastAsia="仿宋_GB2312" w:cs="仿宋_GB2312"/>
          <w:sz w:val="36"/>
          <w:szCs w:val="36"/>
        </w:rPr>
        <w:t>“十四五”时期，年均入选中国科学十大进展数量5项左右。学科建设水平大幅提升，2025年在京高校共有20个学科入选ESI全球前万分之一学科，是2020年的4倍。</w:t>
      </w:r>
      <w:r>
        <w:rPr>
          <w:rFonts w:hint="eastAsia" w:ascii="仿宋_GB2312" w:hAnsi="仿宋_GB2312" w:eastAsia="仿宋_GB2312" w:cs="仿宋_GB2312"/>
          <w:sz w:val="36"/>
          <w:szCs w:val="36"/>
          <w:lang w:bidi="ar"/>
        </w:rPr>
        <w:t>尤为值得一提的是，我市科学家在国际顶级科技奖项上实现多项零的突破，斩获一系列科学荣誉：</w:t>
      </w:r>
      <w:r>
        <w:rPr>
          <w:rFonts w:hint="eastAsia" w:ascii="仿宋_GB2312" w:hAnsi="仿宋_GB2312" w:eastAsia="仿宋_GB2312" w:cs="仿宋_GB2312"/>
          <w:sz w:val="36"/>
          <w:szCs w:val="36"/>
        </w:rPr>
        <w:t>鄂维南院士成为首位获“麦克斯韦奖”的中国科学家（2023年），而且是全球唯一同时获得麦克斯韦奖和科拉兹奖的科学家，王中林院士成为首位获“全球能源奖</w:t>
      </w:r>
      <w:r>
        <w:rPr>
          <w:rFonts w:ascii="仿宋_GB2312" w:hAnsi="仿宋_GB2312" w:eastAsia="仿宋_GB2312" w:cs="仿宋_GB2312"/>
          <w:sz w:val="36"/>
          <w:szCs w:val="36"/>
        </w:rPr>
        <w:t>”</w:t>
      </w:r>
      <w:r>
        <w:rPr>
          <w:rFonts w:hint="eastAsia" w:ascii="仿宋_GB2312" w:hAnsi="仿宋_GB2312" w:eastAsia="仿宋_GB2312" w:cs="仿宋_GB2312"/>
          <w:sz w:val="36"/>
          <w:szCs w:val="36"/>
        </w:rPr>
        <w:t>的中国科学家（2023年），薛其坤院士成为首位获“巴克利奖</w:t>
      </w:r>
      <w:r>
        <w:rPr>
          <w:rFonts w:ascii="仿宋_GB2312" w:hAnsi="仿宋_GB2312" w:eastAsia="仿宋_GB2312" w:cs="仿宋_GB2312"/>
          <w:sz w:val="36"/>
          <w:szCs w:val="36"/>
        </w:rPr>
        <w:t>”</w:t>
      </w:r>
      <w:r>
        <w:rPr>
          <w:rFonts w:hint="eastAsia" w:ascii="仿宋_GB2312" w:hAnsi="仿宋_GB2312" w:eastAsia="仿宋_GB2312" w:cs="仿宋_GB2312"/>
          <w:sz w:val="36"/>
          <w:szCs w:val="36"/>
        </w:rPr>
        <w:t>的中国科学家（2024年），王拥军院士成为首位获“威廉·M·费恩伯格卒中卓越贡献奖</w:t>
      </w:r>
      <w:r>
        <w:rPr>
          <w:rFonts w:ascii="仿宋_GB2312" w:hAnsi="仿宋_GB2312" w:eastAsia="仿宋_GB2312" w:cs="仿宋_GB2312"/>
          <w:sz w:val="36"/>
          <w:szCs w:val="36"/>
        </w:rPr>
        <w:t>”</w:t>
      </w:r>
      <w:r>
        <w:rPr>
          <w:rFonts w:hint="eastAsia" w:ascii="仿宋_GB2312" w:hAnsi="仿宋_GB2312" w:eastAsia="仿宋_GB2312" w:cs="仿宋_GB2312"/>
          <w:sz w:val="36"/>
          <w:szCs w:val="36"/>
        </w:rPr>
        <w:t>的亚洲科学家”（2025年）。</w:t>
      </w:r>
    </w:p>
    <w:p w14:paraId="72A80FDF">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六是多元投入机制逐步健全</w:t>
      </w:r>
      <w:r>
        <w:rPr>
          <w:rFonts w:hint="eastAsia" w:ascii="仿宋_GB2312" w:hAnsi="仿宋_GB2312" w:eastAsia="仿宋_GB2312" w:cs="仿宋_GB2312"/>
          <w:sz w:val="36"/>
          <w:szCs w:val="36"/>
        </w:rPr>
        <w:t>。“十四五”时期，市自然科学基金联合基金从2020年的5支增加到12支，2025年吸引外部经费6.11亿元，出资企业和公益基金会数量共55个，较2020年分别提高6倍（0.86亿元）和10倍（5个）。</w:t>
      </w:r>
      <w:r>
        <w:rPr>
          <w:rFonts w:hint="eastAsia" w:ascii="仿宋_GB2312" w:hAnsi="仿宋_GB2312" w:eastAsia="仿宋_GB2312"/>
          <w:color w:val="000000" w:themeColor="text1"/>
          <w:sz w:val="36"/>
          <w:szCs w:val="36"/>
          <w14:textFill>
            <w14:solidFill>
              <w14:schemeClr w14:val="tx1"/>
            </w14:solidFill>
          </w14:textFill>
        </w:rPr>
        <w:t>是全国第一个接受公益组织捐赠的自然科学基金</w:t>
      </w:r>
      <w:r>
        <w:rPr>
          <w:rFonts w:hint="eastAsia" w:ascii="仿宋_GB2312" w:hAnsi="仿宋_GB2312" w:eastAsia="仿宋_GB2312" w:cs="仿宋_GB2312"/>
          <w:sz w:val="36"/>
          <w:szCs w:val="36"/>
        </w:rPr>
        <w:t>，北京小米公益基金会捐赠5亿元设立北京市自然科学基金-小米创新联合基金</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在中关村先行先试改革中率先试点企业出资自然科学基金税收优惠政策，已支持60余家企业近20亿元投入自然科学基金的经费享受税收优惠，相关政策已在全国推广。为保障税收优惠政策落实落细</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我们联合市税务局等部门出台了企业出资基础研究合同登记操作指引。深化市自然科学基金“企业出题，科学家答题”模式，“十四五”时期，联合基金企业累计出题近2000个，较“十三五”时期增长10倍；带动1.35万余位科研人员揭榜答题。</w:t>
      </w:r>
    </w:p>
    <w:p w14:paraId="3475C1E4">
      <w:pPr>
        <w:spacing w:line="600" w:lineRule="exact"/>
        <w:ind w:firstLine="720" w:firstLineChars="200"/>
        <w:rPr>
          <w:rFonts w:hint="eastAsia" w:ascii="黑体" w:hAnsi="黑体" w:eastAsia="黑体" w:cs="黑体"/>
          <w:sz w:val="36"/>
          <w:szCs w:val="36"/>
        </w:rPr>
      </w:pPr>
      <w:r>
        <w:rPr>
          <w:rFonts w:hint="eastAsia" w:ascii="黑体" w:hAnsi="黑体" w:eastAsia="黑体" w:cs="黑体"/>
          <w:sz w:val="36"/>
          <w:szCs w:val="36"/>
        </w:rPr>
        <w:t>二、“十五五”工作计划</w:t>
      </w:r>
    </w:p>
    <w:p w14:paraId="249C269D">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下一步，我们将在市委市政府的领导下，坚持“四个面向”的战略导向，锚定北京（京津冀）国际科技创新中心建设目标，持续实施基础研究领先行动，进一步强化基础研究战略性、前瞻性、体系化布局，大力提升原始创新能力。</w:t>
      </w:r>
    </w:p>
    <w:p w14:paraId="15822643">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一是强化原始创新策源能力。</w:t>
      </w:r>
      <w:r>
        <w:rPr>
          <w:rFonts w:hint="eastAsia" w:ascii="仿宋_GB2312" w:hAnsi="仿宋_GB2312" w:eastAsia="仿宋_GB2312" w:cs="仿宋_GB2312"/>
          <w:sz w:val="36"/>
          <w:szCs w:val="36"/>
        </w:rPr>
        <w:t>瞄准数理化生等前沿领域，聚力开展高风险、高价值的原创性基础研究，勇闯科研“无人区”，夯实基础理论根基。立足国家战略全局与区域高质量发展刚需，优先布局新一代信息技术、医药健康、集成电路等应用基础研究领域。发挥北京多学科优势，鼓励打破学科边界，支持重大科技问题驱动的学科交叉融合研究，加快推进人工智能赋能科学研究。</w:t>
      </w:r>
    </w:p>
    <w:p w14:paraId="3D0287EB">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二是健全基础研究选题和组织实施机制。</w:t>
      </w:r>
      <w:r>
        <w:rPr>
          <w:rFonts w:hint="eastAsia" w:ascii="仿宋_GB2312" w:hAnsi="仿宋_GB2312" w:eastAsia="仿宋_GB2312" w:cs="仿宋_GB2312"/>
          <w:sz w:val="36"/>
          <w:szCs w:val="36"/>
        </w:rPr>
        <w:t>支持基础研究选题多样化，建立由顶尖科学家主导的前沿方向选题机制。进一步优化非共识项目遴选标准，探索实施推荐制、首席科学家负责制等新型项目遴选方式。</w:t>
      </w:r>
    </w:p>
    <w:p w14:paraId="25252953">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三是加强顶尖人才引进力度。</w:t>
      </w:r>
      <w:r>
        <w:rPr>
          <w:rFonts w:hint="eastAsia" w:ascii="仿宋_GB2312" w:hAnsi="仿宋_GB2312" w:eastAsia="仿宋_GB2312" w:cs="仿宋_GB2312"/>
          <w:sz w:val="36"/>
          <w:szCs w:val="36"/>
        </w:rPr>
        <w:t>健全完善战略科学家、科技领军人才、创新团队快速发现、引进落地机制，持续实施各类引才计划，为人才发展提供精准保障。完善青年人才发现、选拔、培养机制，持续实施基础研究人才专项，探索青年人才长周期稳定支持模式，让青年人才无后顾之忧、勇挑科研重担。</w:t>
      </w:r>
    </w:p>
    <w:p w14:paraId="1DAF1EA9">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四是深入推进国际合作交流。</w:t>
      </w:r>
      <w:r>
        <w:rPr>
          <w:rFonts w:hint="eastAsia" w:ascii="仿宋_GB2312" w:hAnsi="仿宋_GB2312" w:eastAsia="仿宋_GB2312" w:cs="仿宋_GB2312"/>
          <w:sz w:val="36"/>
          <w:szCs w:val="36"/>
        </w:rPr>
        <w:t>推动国际大科学计划的立项和实施，依托国际大科学计划加强国际合作与学术交流。加快培育世界一流科技期刊和具有国际影响力的出版集团，支持顶尖科学家及创新主体在重点领域创办新刊，打造具有全球影响力的学术交流平台。</w:t>
      </w:r>
    </w:p>
    <w:p w14:paraId="6237F423">
      <w:pPr>
        <w:spacing w:line="600" w:lineRule="exact"/>
        <w:ind w:firstLine="723" w:firstLineChars="200"/>
        <w:rPr>
          <w:rFonts w:hint="eastAsia" w:ascii="仿宋_GB2312" w:hAnsi="仿宋_GB2312" w:eastAsia="仿宋_GB2312" w:cs="仿宋_GB2312"/>
          <w:sz w:val="36"/>
          <w:szCs w:val="36"/>
        </w:rPr>
      </w:pPr>
      <w:r>
        <w:rPr>
          <w:rFonts w:hint="eastAsia" w:ascii="仿宋_GB2312" w:hAnsi="仿宋_GB2312" w:eastAsia="仿宋_GB2312" w:cs="仿宋_GB2312"/>
          <w:b/>
          <w:bCs/>
          <w:sz w:val="36"/>
          <w:szCs w:val="36"/>
        </w:rPr>
        <w:t>五是健全可持续的多元投入体系。</w:t>
      </w:r>
      <w:r>
        <w:rPr>
          <w:rFonts w:hint="eastAsia" w:ascii="仿宋_GB2312" w:hAnsi="仿宋_GB2312" w:eastAsia="仿宋_GB2312" w:cs="仿宋_GB2312"/>
          <w:sz w:val="36"/>
          <w:szCs w:val="36"/>
        </w:rPr>
        <w:t>积极对接各区、企业和公益基金会等，进一步拓展市自然科学基金联合基金规模。深入落实基础研究税收优惠政策，引导社会力量投入基础研究，不断完善基础研究多元投入机制。</w:t>
      </w:r>
    </w:p>
    <w:p w14:paraId="179DCC24">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最后，再次感谢各位媒体朋友的关注与支持，也恳请大家继续为北京基础研究工作建言献策、宣传助力。我的介绍完毕，谢谢大家！</w:t>
      </w:r>
    </w:p>
    <w:p w14:paraId="620A779F">
      <w:pPr>
        <w:spacing w:line="600" w:lineRule="exact"/>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（27</w:t>
      </w:r>
      <w:r>
        <w:rPr>
          <w:rFonts w:hint="eastAsia" w:ascii="仿宋_GB2312" w:hAnsi="仿宋_GB2312" w:eastAsia="仿宋_GB2312" w:cs="仿宋_GB2312"/>
          <w:sz w:val="36"/>
          <w:szCs w:val="36"/>
          <w:lang w:val="en-US" w:eastAsia="zh-CN"/>
        </w:rPr>
        <w:t>42</w:t>
      </w:r>
      <w:r>
        <w:rPr>
          <w:rFonts w:hint="eastAsia" w:ascii="仿宋_GB2312" w:hAnsi="仿宋_GB2312" w:eastAsia="仿宋_GB2312" w:cs="仿宋_GB2312"/>
          <w:sz w:val="36"/>
          <w:szCs w:val="36"/>
        </w:rPr>
        <w:t>字）</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444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D18B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14:paraId="46BD18B4">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6">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7">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2">
    <w:name w:val="Block Text"/>
    <w:basedOn w:val="1"/>
    <w:next w:val="3"/>
    <w:qFormat/>
    <w:uiPriority w:val="0"/>
    <w:pPr>
      <w:spacing w:after="120"/>
      <w:ind w:left="1440" w:leftChars="700" w:right="700" w:rightChars="700"/>
    </w:pPr>
  </w:style>
  <w:style w:type="paragraph" w:styleId="3">
    <w:name w:val="index heading"/>
    <w:next w:val="4"/>
    <w:qFormat/>
    <w:uiPriority w:val="0"/>
    <w:pPr>
      <w:widowControl w:val="0"/>
      <w:spacing w:line="560" w:lineRule="exact"/>
      <w:jc w:val="both"/>
    </w:pPr>
    <w:rPr>
      <w:rFonts w:ascii="等线 Light" w:hAnsi="等线 Light" w:eastAsia="等线 Light" w:cs="Times New Roman"/>
      <w:b/>
      <w:bCs/>
      <w:kern w:val="2"/>
      <w:sz w:val="21"/>
      <w:szCs w:val="24"/>
      <w:lang w:val="en-US" w:eastAsia="zh-CN" w:bidi="ar-SA"/>
    </w:rPr>
  </w:style>
  <w:style w:type="paragraph" w:styleId="4">
    <w:name w:val="index 1"/>
    <w:next w:val="1"/>
    <w:qFormat/>
    <w:uiPriority w:val="0"/>
    <w:pPr>
      <w:widowControl w:val="0"/>
      <w:spacing w:line="560" w:lineRule="exact"/>
      <w:jc w:val="both"/>
    </w:pPr>
    <w:rPr>
      <w:rFonts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Plain Text"/>
    <w:next w:val="1"/>
    <w:unhideWhenUsed/>
    <w:qFormat/>
    <w:uiPriority w:val="99"/>
    <w:pPr>
      <w:widowControl w:val="0"/>
      <w:jc w:val="both"/>
    </w:pPr>
    <w:rPr>
      <w:rFonts w:ascii="宋体" w:hAnsi="Courier New" w:eastAsia="宋体" w:cs="Courier New"/>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qFormat/>
    <w:uiPriority w:val="0"/>
    <w:pPr>
      <w:snapToGrid w:val="0"/>
      <w:jc w:val="left"/>
    </w:pPr>
    <w:rPr>
      <w:sz w:val="18"/>
    </w:rPr>
  </w:style>
  <w:style w:type="paragraph" w:styleId="13">
    <w:name w:val="Normal (Web)"/>
    <w:unhideWhenUsed/>
    <w:qFormat/>
    <w:uiPriority w:val="99"/>
    <w:pPr>
      <w:spacing w:before="100" w:beforeAutospacing="1" w:after="119"/>
      <w:ind w:firstLine="420"/>
      <w:jc w:val="both"/>
    </w:pPr>
    <w:rPr>
      <w:rFonts w:ascii="宋体" w:hAnsi="宋体" w:eastAsia="宋体" w:cs="宋体"/>
      <w:lang w:val="en-US" w:eastAsia="zh-CN" w:bidi="ar-SA"/>
    </w:r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footnote reference"/>
    <w:basedOn w:val="14"/>
    <w:qFormat/>
    <w:uiPriority w:val="0"/>
    <w:rPr>
      <w:vertAlign w:val="superscript"/>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4030</Words>
  <Characters>4155</Characters>
  <Lines>107</Lines>
  <Paragraphs>48</Paragraphs>
  <TotalTime>0</TotalTime>
  <ScaleCrop>false</ScaleCrop>
  <LinksUpToDate>false</LinksUpToDate>
  <CharactersWithSpaces>4155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2026-03-09T14:23:00Z</dcterms:created>
  <dc:creator>cyq</dc:creator>
  <cp:lastModifiedBy>iPhone</cp:lastModifiedBy>
  <cp:lastPrinted>2026-03-16T09:38:00Z</cp:lastPrinted>
  <dcterms:modified xsi:type="dcterms:W3CDTF">2026-03-16T15:40:04Z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2052-12.41.0</vt:lpwstr>
  </property>
  <property fmtid="{D5CDD505-2E9C-101B-9397-08002B2CF9AE}" pid="3" name="ICV">
    <vt:lpwstr>FE0B35F903A1480689508A639BEB23EB_13</vt:lpwstr>
  </property>
  <property fmtid="{D5CDD505-2E9C-101B-9397-08002B2CF9AE}" pid="4" name="KSOTemplateDocerSaveRecord">
    <vt:lpwstr>eyJoZGlkIjoiNmNiOWFjOTU4MmRjNDU1ZWU4OWM4NDI1YjQzZjYwZDciLCJ1c2VySWQiOiIyMjY1MjQ4NzUifQ==</vt:lpwstr>
  </property>
</Properties>
</file>