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7534E">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2025中关村论坛年会重大成果</w:t>
      </w:r>
    </w:p>
    <w:p w14:paraId="4BD3D358">
      <w:pPr>
        <w:spacing w:line="560" w:lineRule="exact"/>
        <w:jc w:val="center"/>
        <w:rPr>
          <w:rFonts w:ascii="Times New Roman" w:hAnsi="Times New Roman" w:eastAsia="方正小标宋简体"/>
          <w:sz w:val="44"/>
          <w:szCs w:val="44"/>
        </w:rPr>
      </w:pPr>
      <w:r>
        <w:rPr>
          <w:rFonts w:hint="eastAsia" w:ascii="方正小标宋简体" w:hAnsi="方正小标宋简体" w:eastAsia="方正小标宋简体" w:cs="方正小标宋简体"/>
          <w:sz w:val="44"/>
          <w:szCs w:val="44"/>
        </w:rPr>
        <w:t>专场发布会</w:t>
      </w:r>
      <w:r>
        <w:rPr>
          <w:rFonts w:ascii="Times New Roman" w:hAnsi="Times New Roman" w:eastAsia="方正小标宋简体"/>
          <w:sz w:val="44"/>
          <w:szCs w:val="44"/>
        </w:rPr>
        <w:t>视频脚本</w:t>
      </w:r>
      <w:bookmarkEnd w:id="0"/>
    </w:p>
    <w:p w14:paraId="185FA220">
      <w:pPr>
        <w:spacing w:line="560" w:lineRule="exact"/>
        <w:rPr>
          <w:rFonts w:ascii="Times New Roman" w:hAnsi="Times New Roman" w:eastAsia="仿宋_GB2312"/>
          <w:b/>
          <w:bCs/>
          <w:sz w:val="32"/>
          <w:szCs w:val="32"/>
        </w:rPr>
      </w:pPr>
    </w:p>
    <w:p w14:paraId="27DB6039">
      <w:pPr>
        <w:spacing w:line="560" w:lineRule="exact"/>
        <w:rPr>
          <w:rFonts w:ascii="Times New Roman" w:hAnsi="Times New Roman" w:eastAsia="黑体"/>
          <w:sz w:val="32"/>
          <w:szCs w:val="32"/>
        </w:rPr>
      </w:pPr>
      <w:r>
        <w:rPr>
          <w:rFonts w:hint="eastAsia" w:ascii="Times New Roman" w:hAnsi="Times New Roman" w:eastAsia="黑体"/>
          <w:sz w:val="32"/>
          <w:szCs w:val="32"/>
        </w:rPr>
        <w:t>一、面向</w:t>
      </w:r>
      <w:r>
        <w:rPr>
          <w:rFonts w:ascii="Times New Roman" w:hAnsi="Times New Roman" w:eastAsia="黑体"/>
          <w:sz w:val="32"/>
          <w:szCs w:val="32"/>
        </w:rPr>
        <w:t>世界科技前沿</w:t>
      </w:r>
      <w:r>
        <w:rPr>
          <w:rFonts w:hint="eastAsia" w:ascii="Times New Roman" w:hAnsi="Times New Roman" w:eastAsia="黑体"/>
          <w:sz w:val="32"/>
          <w:szCs w:val="32"/>
        </w:rPr>
        <w:t>（4项）</w:t>
      </w:r>
    </w:p>
    <w:p w14:paraId="26071FD5">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科技成果</w:t>
      </w:r>
      <w:r>
        <w:rPr>
          <w:rFonts w:hint="eastAsia" w:ascii="Times New Roman" w:hAnsi="Times New Roman" w:eastAsia="仿宋_GB2312"/>
          <w:b/>
          <w:bCs/>
          <w:sz w:val="32"/>
          <w:szCs w:val="32"/>
        </w:rPr>
        <w:t>一：我国空间科学取得国际领先成果</w:t>
      </w:r>
    </w:p>
    <w:p w14:paraId="6BC70D35">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China's Space Science Achieves a Series of Milestones</w:t>
      </w:r>
    </w:p>
    <w:p w14:paraId="7A5CFFE6">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发布单位：中国科学院国家空间科学中心</w:t>
      </w:r>
    </w:p>
    <w:p w14:paraId="701EBD8F">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National Space Science Center，Chinese Academy of Sciences</w:t>
      </w:r>
    </w:p>
    <w:p w14:paraId="5CD20C5F">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2024年，《国家空间科学中长期发展规划（2024—2050年）》正式发布。“天关”卫星探测到256亿光年外的伽马射线暴，发现未知暂现天体。“夸父一号”获得国际首个Lyα卡林顿图。“慧眼”卫星首次测量黑洞X射线双星的自旋和轨道倾角。“怀柔一号”发现迄今能量最高的伽马谱线。</w:t>
      </w:r>
    </w:p>
    <w:p w14:paraId="2C62F8E9">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In 2024, China officially released the National Mid-and Long-term Plan for Space Science in China (2024-2050) . </w:t>
      </w:r>
    </w:p>
    <w:p w14:paraId="6BF3CAA6">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The Tianguan satellite (Einstein Probe) detected a gamma-ray burst 25.6 billion light-years away and discovered unknown transient celestial bodies;</w:t>
      </w:r>
    </w:p>
    <w:p w14:paraId="02B23181">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The Kuafu-1 satellite (ASO-S) obtained the world's first Lyα Carrington map ;</w:t>
      </w:r>
    </w:p>
    <w:p w14:paraId="0921C442">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The Insight satellite (HX</w:t>
      </w:r>
      <w:r>
        <w:rPr>
          <w:rFonts w:hint="eastAsia" w:ascii="Times New Roman" w:hAnsi="Times New Roman" w:eastAsia="仿宋_GB2312"/>
          <w:sz w:val="32"/>
          <w:szCs w:val="32"/>
        </w:rPr>
        <w:t>MT</w:t>
      </w:r>
      <w:r>
        <w:rPr>
          <w:rFonts w:ascii="Times New Roman" w:hAnsi="Times New Roman" w:eastAsia="仿宋_GB2312"/>
          <w:sz w:val="32"/>
          <w:szCs w:val="32"/>
        </w:rPr>
        <w:t>) measured the spin and orbital inclination of a black hole X-ray binary for the first time ;</w:t>
      </w:r>
    </w:p>
    <w:p w14:paraId="53D84DA8">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The Huairou-1 satellite (GECAM) identified the highest-energy gamma-ray line observed to date.</w:t>
      </w:r>
    </w:p>
    <w:p w14:paraId="01316F0F">
      <w:pPr>
        <w:spacing w:line="560" w:lineRule="exact"/>
        <w:rPr>
          <w:rFonts w:ascii="Times New Roman" w:hAnsi="Times New Roman" w:eastAsia="仿宋_GB2312"/>
          <w:b/>
          <w:bCs/>
          <w:sz w:val="32"/>
          <w:szCs w:val="32"/>
        </w:rPr>
      </w:pPr>
    </w:p>
    <w:p w14:paraId="66AF4EF6">
      <w:pPr>
        <w:widowControl/>
        <w:spacing w:line="560" w:lineRule="exact"/>
        <w:ind w:firstLine="643" w:firstLineChars="200"/>
        <w:rPr>
          <w:rFonts w:ascii="Times New Roman" w:hAnsi="Times New Roman" w:eastAsia="仿宋_GB2312"/>
          <w:b/>
          <w:bCs/>
          <w:sz w:val="32"/>
          <w:szCs w:val="32"/>
        </w:rPr>
      </w:pPr>
    </w:p>
    <w:p w14:paraId="51CAB3B6">
      <w:pPr>
        <w:widowControl/>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科技成果</w:t>
      </w:r>
      <w:r>
        <w:rPr>
          <w:rFonts w:hint="eastAsia" w:ascii="Times New Roman" w:hAnsi="Times New Roman" w:eastAsia="仿宋_GB2312"/>
          <w:b/>
          <w:bCs/>
          <w:sz w:val="32"/>
          <w:szCs w:val="32"/>
        </w:rPr>
        <w:t>二：基于原语表示的类脑互补视觉感知芯片“天眸芯”</w:t>
      </w:r>
    </w:p>
    <w:p w14:paraId="5FA9C721">
      <w:pPr>
        <w:widowControl/>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 xml:space="preserve">A Complementary Vision Chip </w:t>
      </w:r>
      <w:r>
        <w:rPr>
          <w:rFonts w:hint="eastAsia" w:ascii="Times New Roman" w:hAnsi="Times New Roman" w:eastAsia="仿宋_GB2312"/>
          <w:b/>
          <w:bCs/>
          <w:sz w:val="32"/>
          <w:szCs w:val="32"/>
        </w:rPr>
        <w:t>w</w:t>
      </w:r>
      <w:r>
        <w:rPr>
          <w:rFonts w:ascii="Times New Roman" w:hAnsi="Times New Roman" w:eastAsia="仿宋_GB2312"/>
          <w:b/>
          <w:bCs/>
          <w:sz w:val="32"/>
          <w:szCs w:val="32"/>
        </w:rPr>
        <w:t>ith Primitive-Based Representations "Tianmouc"</w:t>
      </w:r>
    </w:p>
    <w:p w14:paraId="685D3B42">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发布单位：清华大学</w:t>
      </w:r>
    </w:p>
    <w:p w14:paraId="650CE7A0">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Tsinghua University</w:t>
      </w:r>
    </w:p>
    <w:p w14:paraId="5BB753A1">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清华大学团队借鉴人类视觉系统，提出基于原语表示的类脑互补视觉感知新范式，突破传统图像传感器 “分辨率、帧率、精度、动态范围”相互制约、无法满足开放环境中视觉感知复杂需求的瓶颈，研制出“天眸芯”，降低90%带宽，实现每秒10000帧、10bit、130dB的高速、高精度、高动态范围视觉感知。</w:t>
      </w:r>
    </w:p>
    <w:p w14:paraId="23101C9C">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Inspired by human vision system, Tsinghua University propose a novel brain-inspired complementary vision paradigm with primitive-based representation.</w:t>
      </w:r>
      <w:r>
        <w:rPr>
          <w:rFonts w:hint="eastAsia" w:ascii="Times New Roman" w:hAnsi="Times New Roman" w:eastAsia="仿宋_GB2312"/>
          <w:sz w:val="32"/>
          <w:szCs w:val="32"/>
        </w:rPr>
        <w:t xml:space="preserve"> </w:t>
      </w:r>
      <w:r>
        <w:rPr>
          <w:rFonts w:ascii="Times New Roman" w:hAnsi="Times New Roman" w:eastAsia="仿宋_GB2312"/>
          <w:sz w:val="32"/>
          <w:szCs w:val="32"/>
        </w:rPr>
        <w:t>This breakthrough overcomes the limitation between resolution, frame rate, precision and dynamic range, failing to meet complex visual perception demands in open world.</w:t>
      </w:r>
      <w:r>
        <w:rPr>
          <w:rFonts w:hint="eastAsia" w:ascii="Times New Roman" w:hAnsi="Times New Roman" w:eastAsia="仿宋_GB2312"/>
          <w:sz w:val="32"/>
          <w:szCs w:val="32"/>
        </w:rPr>
        <w:t xml:space="preserve"> </w:t>
      </w:r>
      <w:r>
        <w:rPr>
          <w:rFonts w:ascii="Times New Roman" w:hAnsi="Times New Roman" w:eastAsia="仿宋_GB2312"/>
          <w:sz w:val="32"/>
          <w:szCs w:val="32"/>
        </w:rPr>
        <w:t>The team develops Tianmouc based on this paradigm, with bandwitdh reduction of 90%, high speed of 10000 frame per second , high precision of 10 bit, high dynamic range of 130 dB.</w:t>
      </w:r>
    </w:p>
    <w:p w14:paraId="7E814202">
      <w:pPr>
        <w:widowControl/>
        <w:spacing w:line="560" w:lineRule="exact"/>
        <w:ind w:firstLine="640" w:firstLineChars="200"/>
        <w:rPr>
          <w:rFonts w:ascii="Times New Roman" w:hAnsi="Times New Roman" w:eastAsia="仿宋_GB2312"/>
          <w:sz w:val="32"/>
          <w:szCs w:val="32"/>
        </w:rPr>
      </w:pPr>
    </w:p>
    <w:p w14:paraId="3C264D56">
      <w:pPr>
        <w:widowControl/>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科技成果</w:t>
      </w:r>
      <w:r>
        <w:rPr>
          <w:rFonts w:hint="eastAsia" w:ascii="Times New Roman" w:hAnsi="Times New Roman" w:eastAsia="仿宋_GB2312"/>
          <w:b/>
          <w:bCs/>
          <w:sz w:val="32"/>
          <w:szCs w:val="32"/>
        </w:rPr>
        <w:t>三：“晶格传质-界面生长”晶体制备新范式</w:t>
      </w:r>
    </w:p>
    <w:p w14:paraId="2F563D65">
      <w:pPr>
        <w:widowControl/>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w:t>
      </w:r>
      <w:r>
        <w:rPr>
          <w:rFonts w:ascii="Times New Roman" w:hAnsi="Times New Roman" w:eastAsia="仿宋_GB2312"/>
          <w:b/>
          <w:bCs/>
          <w:sz w:val="32"/>
          <w:szCs w:val="32"/>
        </w:rPr>
        <w:t xml:space="preserve">Mass Transport </w:t>
      </w:r>
      <w:r>
        <w:rPr>
          <w:rFonts w:hint="eastAsia" w:ascii="Times New Roman" w:hAnsi="Times New Roman" w:eastAsia="仿宋_GB2312"/>
          <w:b/>
          <w:bCs/>
          <w:sz w:val="32"/>
          <w:szCs w:val="32"/>
        </w:rPr>
        <w:t>i</w:t>
      </w:r>
      <w:r>
        <w:rPr>
          <w:rFonts w:ascii="Times New Roman" w:hAnsi="Times New Roman" w:eastAsia="仿宋_GB2312"/>
          <w:b/>
          <w:bCs/>
          <w:sz w:val="32"/>
          <w:szCs w:val="32"/>
        </w:rPr>
        <w:t xml:space="preserve">n </w:t>
      </w:r>
      <w:r>
        <w:rPr>
          <w:rFonts w:hint="eastAsia" w:ascii="Times New Roman" w:hAnsi="Times New Roman" w:eastAsia="仿宋_GB2312"/>
          <w:b/>
          <w:bCs/>
          <w:sz w:val="32"/>
          <w:szCs w:val="32"/>
        </w:rPr>
        <w:t>t</w:t>
      </w:r>
      <w:r>
        <w:rPr>
          <w:rFonts w:ascii="Times New Roman" w:hAnsi="Times New Roman" w:eastAsia="仿宋_GB2312"/>
          <w:b/>
          <w:bCs/>
          <w:sz w:val="32"/>
          <w:szCs w:val="32"/>
        </w:rPr>
        <w:t xml:space="preserve">he Lattice-Epitaxy Growth </w:t>
      </w:r>
      <w:r>
        <w:rPr>
          <w:rFonts w:hint="eastAsia" w:ascii="Times New Roman" w:hAnsi="Times New Roman" w:eastAsia="仿宋_GB2312"/>
          <w:b/>
          <w:bCs/>
          <w:sz w:val="32"/>
          <w:szCs w:val="32"/>
        </w:rPr>
        <w:t>a</w:t>
      </w:r>
      <w:r>
        <w:rPr>
          <w:rFonts w:ascii="Times New Roman" w:hAnsi="Times New Roman" w:eastAsia="仿宋_GB2312"/>
          <w:b/>
          <w:bCs/>
          <w:sz w:val="32"/>
          <w:szCs w:val="32"/>
        </w:rPr>
        <w:t xml:space="preserve">t </w:t>
      </w:r>
      <w:r>
        <w:rPr>
          <w:rFonts w:hint="eastAsia" w:ascii="Times New Roman" w:hAnsi="Times New Roman" w:eastAsia="仿宋_GB2312"/>
          <w:b/>
          <w:bCs/>
          <w:sz w:val="32"/>
          <w:szCs w:val="32"/>
        </w:rPr>
        <w:t>t</w:t>
      </w:r>
      <w:r>
        <w:rPr>
          <w:rFonts w:ascii="Times New Roman" w:hAnsi="Times New Roman" w:eastAsia="仿宋_GB2312"/>
          <w:b/>
          <w:bCs/>
          <w:sz w:val="32"/>
          <w:szCs w:val="32"/>
        </w:rPr>
        <w:t xml:space="preserve">he Interface” </w:t>
      </w:r>
      <w:r>
        <w:rPr>
          <w:rFonts w:hint="eastAsia" w:ascii="Times New Roman" w:hAnsi="Times New Roman" w:eastAsia="仿宋_GB2312"/>
          <w:b/>
          <w:bCs/>
          <w:sz w:val="32"/>
          <w:szCs w:val="32"/>
        </w:rPr>
        <w:t>f</w:t>
      </w:r>
      <w:r>
        <w:rPr>
          <w:rFonts w:ascii="Times New Roman" w:hAnsi="Times New Roman" w:eastAsia="仿宋_GB2312"/>
          <w:b/>
          <w:bCs/>
          <w:sz w:val="32"/>
          <w:szCs w:val="32"/>
        </w:rPr>
        <w:t>or Crystal Manufacturing Like Organism Growth</w:t>
      </w:r>
    </w:p>
    <w:p w14:paraId="2471ACB8">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发布单位：北京大学</w:t>
      </w:r>
    </w:p>
    <w:p w14:paraId="3248FF08">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Peking University</w:t>
      </w:r>
    </w:p>
    <w:p w14:paraId="37FBC57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区别于传统晶体制造方法，北京大学团队首创一种“晶格传质-界面生长”晶体制备新范式，可以使材料像“顶竹笋”一样，顶着自身结构推动晶体向上生长，保证晶体结构的快速生长和均一排布，有效避免了缺陷积累，石墨、硫化钼晶体纯度提高10-100倍，极大提高了晶体结构的可控性。</w:t>
      </w:r>
    </w:p>
    <w:p w14:paraId="28FC9D4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Different from traditional crystal manufacturing methods,</w:t>
      </w:r>
      <w:r>
        <w:rPr>
          <w:rFonts w:hint="eastAsia" w:ascii="Times New Roman" w:hAnsi="Times New Roman" w:eastAsia="仿宋_GB2312"/>
          <w:sz w:val="32"/>
          <w:szCs w:val="32"/>
        </w:rPr>
        <w:t xml:space="preserve"> t</w:t>
      </w:r>
      <w:r>
        <w:rPr>
          <w:rFonts w:ascii="Times New Roman" w:hAnsi="Times New Roman" w:eastAsia="仿宋_GB2312"/>
          <w:sz w:val="32"/>
          <w:szCs w:val="32"/>
        </w:rPr>
        <w:t xml:space="preserve">he research team from Peking University </w:t>
      </w:r>
      <w:r>
        <w:rPr>
          <w:rFonts w:hint="eastAsia" w:ascii="Times New Roman" w:hAnsi="Times New Roman" w:eastAsia="仿宋_GB2312"/>
          <w:sz w:val="32"/>
          <w:szCs w:val="32"/>
        </w:rPr>
        <w:t xml:space="preserve">created </w:t>
      </w:r>
      <w:r>
        <w:rPr>
          <w:rFonts w:ascii="Times New Roman" w:hAnsi="Times New Roman" w:eastAsia="仿宋_GB2312"/>
          <w:sz w:val="32"/>
          <w:szCs w:val="32"/>
        </w:rPr>
        <w:t>a novel paradigm—“Mass transport in the lattice-Epitaxy growth at the interface”. This approach enables crystals to emerge naturally from their substrate like bamb</w:t>
      </w:r>
      <w:r>
        <w:rPr>
          <w:rFonts w:hint="eastAsia" w:ascii="Times New Roman" w:hAnsi="Times New Roman" w:eastAsia="仿宋_GB2312"/>
          <w:sz w:val="32"/>
          <w:szCs w:val="32"/>
        </w:rPr>
        <w:t>oo shoots sprouting upwards, ensuring both fast growth and uniform alignment of crystal layers. By effectively preventing defect accumulation，the purity of graphite and molybdenum disulfide crystals is improved by 10-100 times, significantly enhancing stru</w:t>
      </w:r>
      <w:r>
        <w:rPr>
          <w:rFonts w:ascii="Times New Roman" w:hAnsi="Times New Roman" w:eastAsia="仿宋_GB2312"/>
          <w:sz w:val="32"/>
          <w:szCs w:val="32"/>
        </w:rPr>
        <w:t>ctural controllability.</w:t>
      </w:r>
    </w:p>
    <w:p w14:paraId="50D35007">
      <w:pPr>
        <w:spacing w:line="560" w:lineRule="exact"/>
        <w:ind w:firstLine="643" w:firstLineChars="200"/>
        <w:rPr>
          <w:rFonts w:ascii="Times New Roman" w:hAnsi="Times New Roman" w:eastAsia="仿宋_GB2312"/>
          <w:b/>
          <w:bCs/>
          <w:sz w:val="32"/>
          <w:szCs w:val="32"/>
        </w:rPr>
      </w:pPr>
    </w:p>
    <w:p w14:paraId="070A1AC4">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科技成果四：百比特离子阱量子计算原型机</w:t>
      </w:r>
    </w:p>
    <w:p w14:paraId="29B191A5">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A 100-Qubit Ion Trap Quantum Computing Prototype System</w:t>
      </w:r>
    </w:p>
    <w:p w14:paraId="1C2D2283">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发布单位：华翊博奥（北京）量子科技有限公司</w:t>
      </w:r>
    </w:p>
    <w:p w14:paraId="0A91BE94">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HYQ Co., Ltd.</w:t>
      </w:r>
    </w:p>
    <w:p w14:paraId="1448F61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华翊量子研发世界首个基于二维离子量子比特阵列的通用离子阱量子计算技术架构，利用维度提升快速增加可控量子比特数量，极大增强了量子计算能力，首次实现了包含超过百个离子量子比特的二维阵列囚禁与独立寻址操控，完成规模达100量子比特的第二代离子阱量子计算商业化原型机。</w:t>
      </w:r>
    </w:p>
    <w:p w14:paraId="5AA60CF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HYQ has developed the world's first 2D-ion-crystal-based universal quantum computing architecture. In contrast to conventional one-dimensional ion chains, this 2D configuration enables rapid scaling of controllable qubits, leading to a significant enhancement in quantum computing capabilities. Notably, the company has achieved the first successful trapping and individual addressing of a 2D array containing over 100 ion qubits, thereby realizing a 100-qubit second-generation ion trap quantum computing commercial prototype.</w:t>
      </w:r>
    </w:p>
    <w:p w14:paraId="3D6237F6">
      <w:pPr>
        <w:spacing w:line="560" w:lineRule="exact"/>
        <w:rPr>
          <w:rFonts w:ascii="Times New Roman" w:hAnsi="Times New Roman" w:eastAsia="黑体"/>
          <w:sz w:val="32"/>
          <w:szCs w:val="32"/>
        </w:rPr>
      </w:pPr>
    </w:p>
    <w:p w14:paraId="2F4D28BE">
      <w:pPr>
        <w:spacing w:line="560" w:lineRule="exact"/>
        <w:rPr>
          <w:rFonts w:ascii="Times New Roman" w:hAnsi="Times New Roman" w:eastAsia="仿宋_GB2312"/>
          <w:sz w:val="32"/>
          <w:szCs w:val="32"/>
        </w:rPr>
      </w:pPr>
      <w:r>
        <w:rPr>
          <w:rFonts w:hint="eastAsia" w:ascii="Times New Roman" w:hAnsi="Times New Roman" w:eastAsia="黑体"/>
          <w:sz w:val="32"/>
          <w:szCs w:val="32"/>
        </w:rPr>
        <w:t>二、面向经济主战场（</w:t>
      </w:r>
      <w:r>
        <w:rPr>
          <w:rFonts w:ascii="Times New Roman" w:hAnsi="Times New Roman" w:eastAsia="黑体"/>
          <w:sz w:val="32"/>
          <w:szCs w:val="32"/>
        </w:rPr>
        <w:t>5</w:t>
      </w:r>
      <w:r>
        <w:rPr>
          <w:rFonts w:hint="eastAsia" w:ascii="Times New Roman" w:hAnsi="Times New Roman" w:eastAsia="黑体"/>
          <w:sz w:val="32"/>
          <w:szCs w:val="32"/>
        </w:rPr>
        <w:t>项）</w:t>
      </w:r>
    </w:p>
    <w:p w14:paraId="3E20CAE7">
      <w:pPr>
        <w:widowControl/>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科技成果</w:t>
      </w:r>
      <w:r>
        <w:rPr>
          <w:rFonts w:hint="eastAsia" w:ascii="Times New Roman" w:hAnsi="Times New Roman" w:eastAsia="仿宋_GB2312"/>
          <w:b/>
          <w:bCs/>
          <w:sz w:val="32"/>
          <w:szCs w:val="32"/>
        </w:rPr>
        <w:t>一：朱雀二号改进型液氧甲烷运载火箭</w:t>
      </w:r>
    </w:p>
    <w:p w14:paraId="787A4EDF">
      <w:pPr>
        <w:widowControl/>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ZQ-2E Liquid Oxygen-Methane Launch Vehicle</w:t>
      </w:r>
    </w:p>
    <w:p w14:paraId="0B14DD82">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发布单位：</w:t>
      </w:r>
      <w:r>
        <w:rPr>
          <w:rFonts w:hint="eastAsia" w:ascii="Times New Roman" w:hAnsi="Times New Roman" w:eastAsia="仿宋_GB2312"/>
          <w:b/>
          <w:bCs/>
          <w:sz w:val="32"/>
          <w:szCs w:val="32"/>
        </w:rPr>
        <w:t>蓝箭航天空间科技股份有限公司</w:t>
      </w:r>
    </w:p>
    <w:p w14:paraId="14E9C3FA">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LandSpace Technology Co., Ltd.</w:t>
      </w:r>
    </w:p>
    <w:p w14:paraId="75A173E9">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蓝箭航天研制的朱雀二号改进型液氧甲烷运载火箭成功突破双低温液体火箭全过冷加注、双低温单层共底贮箱等多项关键技术。朱雀二号系列火箭是全球首款且目前唯一连续三次成功发射并实现入轨的液氧甲烷火箭。</w:t>
      </w:r>
    </w:p>
    <w:p w14:paraId="2CF9B003">
      <w:pPr>
        <w:widowControl/>
        <w:spacing w:line="560" w:lineRule="exact"/>
        <w:ind w:firstLine="640" w:firstLineChars="200"/>
        <w:rPr>
          <w:rFonts w:ascii="Times New Roman" w:hAnsi="Times New Roman" w:eastAsia="仿宋_GB2312"/>
          <w:sz w:val="32"/>
          <w:szCs w:val="32"/>
        </w:rPr>
      </w:pPr>
    </w:p>
    <w:p w14:paraId="38120824">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ZQ-2E </w:t>
      </w:r>
      <w:r>
        <w:rPr>
          <w:rFonts w:ascii="Times New Roman" w:hAnsi="Times New Roman" w:eastAsia="仿宋_GB2312"/>
          <w:sz w:val="32"/>
          <w:szCs w:val="32"/>
        </w:rPr>
        <w:t>liquid oxygen-methane rocket</w:t>
      </w:r>
      <w:r>
        <w:rPr>
          <w:rFonts w:hint="eastAsia" w:ascii="Times New Roman" w:hAnsi="Times New Roman" w:eastAsia="仿宋_GB2312"/>
          <w:sz w:val="32"/>
          <w:szCs w:val="32"/>
        </w:rPr>
        <w:t xml:space="preserve"> developed by LandSpace </w:t>
      </w:r>
      <w:r>
        <w:rPr>
          <w:rFonts w:ascii="Times New Roman" w:hAnsi="Times New Roman" w:eastAsia="仿宋_GB2312"/>
          <w:sz w:val="32"/>
          <w:szCs w:val="32"/>
        </w:rPr>
        <w:t>has successfully made breakthroughs in multiple key technologies, including full subcooled loading for dual cryogenic propellants and single-layer common bulkhead tank design.</w:t>
      </w:r>
      <w:r>
        <w:t xml:space="preserve"> </w:t>
      </w:r>
      <w:r>
        <w:rPr>
          <w:rFonts w:hint="eastAsia" w:ascii="Times New Roman" w:hAnsi="Times New Roman" w:eastAsia="仿宋_GB2312"/>
          <w:sz w:val="32"/>
          <w:szCs w:val="32"/>
        </w:rPr>
        <w:t>ZQ-2 series of</w:t>
      </w:r>
      <w:r>
        <w:rPr>
          <w:rFonts w:ascii="Times New Roman" w:hAnsi="Times New Roman" w:eastAsia="仿宋_GB2312"/>
          <w:sz w:val="32"/>
          <w:szCs w:val="32"/>
        </w:rPr>
        <w:t xml:space="preserve"> rockets</w:t>
      </w:r>
      <w:r>
        <w:rPr>
          <w:rFonts w:hint="eastAsia" w:ascii="Times New Roman" w:hAnsi="Times New Roman" w:eastAsia="仿宋_GB2312"/>
          <w:sz w:val="32"/>
          <w:szCs w:val="32"/>
        </w:rPr>
        <w:t xml:space="preserve"> have</w:t>
      </w:r>
      <w:r>
        <w:t xml:space="preserve"> </w:t>
      </w:r>
      <w:r>
        <w:rPr>
          <w:rFonts w:ascii="Times New Roman" w:hAnsi="Times New Roman" w:eastAsia="仿宋_GB2312"/>
          <w:sz w:val="32"/>
          <w:szCs w:val="32"/>
        </w:rPr>
        <w:t>become the world's first and currently only liquid oxygen-methane rocket</w:t>
      </w:r>
      <w:r>
        <w:rPr>
          <w:rFonts w:hint="eastAsia" w:ascii="Times New Roman" w:hAnsi="Times New Roman" w:eastAsia="仿宋_GB2312"/>
          <w:sz w:val="32"/>
          <w:szCs w:val="32"/>
        </w:rPr>
        <w:t>s</w:t>
      </w:r>
      <w:r>
        <w:rPr>
          <w:rFonts w:ascii="Times New Roman" w:hAnsi="Times New Roman" w:eastAsia="仿宋_GB2312"/>
          <w:sz w:val="32"/>
          <w:szCs w:val="32"/>
        </w:rPr>
        <w:t xml:space="preserve"> to achieve three consecutive successful launches and orbital insertions</w:t>
      </w:r>
      <w:r>
        <w:rPr>
          <w:rFonts w:hint="eastAsia" w:ascii="Times New Roman" w:hAnsi="Times New Roman" w:eastAsia="仿宋_GB2312"/>
          <w:sz w:val="32"/>
          <w:szCs w:val="32"/>
        </w:rPr>
        <w:t>.</w:t>
      </w:r>
    </w:p>
    <w:p w14:paraId="10821B31">
      <w:pPr>
        <w:widowControl/>
        <w:spacing w:line="560" w:lineRule="exact"/>
        <w:ind w:firstLine="640" w:firstLineChars="200"/>
        <w:rPr>
          <w:rFonts w:ascii="Times New Roman" w:hAnsi="Times New Roman" w:eastAsia="仿宋_GB2312"/>
          <w:sz w:val="32"/>
          <w:szCs w:val="32"/>
        </w:rPr>
      </w:pPr>
    </w:p>
    <w:p w14:paraId="4DE8AE79">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科技成果二：空天计算在轨试验平台</w:t>
      </w:r>
    </w:p>
    <w:p w14:paraId="1DD2C254">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In-Orbit Experimental Testbed for Satellite Computing</w:t>
      </w:r>
    </w:p>
    <w:p w14:paraId="727A4978">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发布单位：北京邮电大学</w:t>
      </w:r>
    </w:p>
    <w:p w14:paraId="2D07F595">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Beijing University of Posts and Telecommunications</w:t>
      </w:r>
    </w:p>
    <w:p w14:paraId="30A7F7A5">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北京邮电大学联合国内优势单位，攻克星地一体服务化管理与资源配置、星间跨域协同与服务供应等多项核心技术，共同建设全球首个空天计算在轨试验平台——天算星座，成功研制出星载新一代核心网系统、云原生卫星平台、卫星操作系统、太空服务器。实现星地AI协同推理，将在轨目标识别精度提升50%以上，卫星回传数据量减少90%以上。</w:t>
      </w:r>
    </w:p>
    <w:p w14:paraId="251D14DC">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Beijing University of Posts and Telecommunications, in collaboration with several leading institutions in China, has successfully addressed key technological challenges, including integrated space-ground service management and resource allocation, cross-domain inter-satellite coordination, and in-orbit service provisioning. Together, they have established the world's first in-orbit experimental testbed for satellite computing—the TianSuan Constellation. This constellation incorporates cutting-edge onboard technologies, including a new-generation satellite core network system, a cloud-native satellite platform, a satellite operating system, and high-performance space servers. Leveraging advanced satellite-ground collaborative AI inference, TianSuan has achieved remarkable results, improving in-orbit detection accuracy by over 50% and reducing satellite data transmission volumes by more than 90%.</w:t>
      </w:r>
    </w:p>
    <w:p w14:paraId="2D285C1D">
      <w:pPr>
        <w:widowControl/>
        <w:spacing w:line="560" w:lineRule="exact"/>
        <w:ind w:firstLine="640" w:firstLineChars="200"/>
        <w:rPr>
          <w:rFonts w:ascii="Times New Roman" w:hAnsi="Times New Roman" w:eastAsia="仿宋_GB2312"/>
          <w:sz w:val="32"/>
          <w:szCs w:val="32"/>
        </w:rPr>
      </w:pPr>
    </w:p>
    <w:p w14:paraId="36D45467">
      <w:pPr>
        <w:widowControl/>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科技成果</w:t>
      </w:r>
      <w:r>
        <w:rPr>
          <w:rFonts w:hint="eastAsia" w:ascii="Times New Roman" w:hAnsi="Times New Roman" w:eastAsia="仿宋_GB2312"/>
          <w:b/>
          <w:bCs/>
          <w:sz w:val="32"/>
          <w:szCs w:val="32"/>
        </w:rPr>
        <w:t>三：智简内生6G原型系统</w:t>
      </w:r>
    </w:p>
    <w:p w14:paraId="5F2C92F3">
      <w:pPr>
        <w:widowControl/>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Prototype of Intelligent and Concise Native 6G Wireless Network</w:t>
      </w:r>
    </w:p>
    <w:p w14:paraId="0AB6B6A2">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发布单位：</w:t>
      </w:r>
      <w:r>
        <w:rPr>
          <w:rFonts w:hint="eastAsia" w:ascii="Times New Roman" w:hAnsi="Times New Roman" w:eastAsia="仿宋_GB2312"/>
          <w:b/>
          <w:bCs/>
          <w:sz w:val="32"/>
          <w:szCs w:val="32"/>
        </w:rPr>
        <w:t>中关村泛联移动通信技术创新应用研究院、中国移动通信集团有限公司、北京邮电大学</w:t>
      </w:r>
    </w:p>
    <w:p w14:paraId="691C382B">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ZGC Institute of Ubiquitous-X Innovation and Applications</w:t>
      </w:r>
    </w:p>
    <w:p w14:paraId="677A1648">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 xml:space="preserve">China Mobile Communications Group Co., Ltd , </w:t>
      </w:r>
    </w:p>
    <w:p w14:paraId="322CB8D8">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Beijing University of Posts and Telecommunications</w:t>
      </w:r>
    </w:p>
    <w:p w14:paraId="1E8915B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关村泛联院、中国移动、北京邮电大学联合攻克“通+感+算+智+X”多要素内生一体融合、云化异构资源协同等技术难题，研制出全球首个智简内生的6G原型系统，具备6.6Gbps传输速率、亚米级感知精度、多模态语义通信等多维能力。</w:t>
      </w:r>
    </w:p>
    <w:p w14:paraId="2937821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ZGC-XNET, CMCC and BUPT have jointly researched critical technical challenges, including the endogenous integration of multi-element systems ("communication + sensing + computing + intelligence + X") and the coordination of cloud-based heterogeneous resources. They successfully developed the world's first Prototype System of Intelligent and Concise Endogenous 6G Wireless Network.</w:t>
      </w:r>
      <w:r>
        <w:rPr>
          <w:rFonts w:hint="eastAsia" w:ascii="Times New Roman" w:hAnsi="Times New Roman" w:eastAsia="仿宋_GB2312"/>
          <w:sz w:val="32"/>
          <w:szCs w:val="32"/>
        </w:rPr>
        <w:t xml:space="preserve"> </w:t>
      </w:r>
      <w:r>
        <w:rPr>
          <w:rFonts w:ascii="Times New Roman" w:hAnsi="Times New Roman" w:eastAsia="仿宋_GB2312"/>
          <w:sz w:val="32"/>
          <w:szCs w:val="32"/>
        </w:rPr>
        <w:t>This system demonstrates multi-dimensional capabilities, such as a 6.6 Gbps transmission rate, sub-meter-level sensing accuracy, and multi-modal semantic communication.</w:t>
      </w:r>
    </w:p>
    <w:p w14:paraId="0C1284B8">
      <w:pPr>
        <w:spacing w:line="560" w:lineRule="exact"/>
        <w:ind w:firstLine="640" w:firstLineChars="200"/>
        <w:rPr>
          <w:rFonts w:ascii="Times New Roman" w:hAnsi="Times New Roman" w:eastAsia="仿宋_GB2312"/>
          <w:sz w:val="32"/>
          <w:szCs w:val="32"/>
        </w:rPr>
      </w:pPr>
    </w:p>
    <w:p w14:paraId="3D7A30A7">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科技成果四：北汽福田液氢重卡</w:t>
      </w:r>
    </w:p>
    <w:p w14:paraId="720F3772">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Beiqi Foton Liquid Hydrogen Heavy-duty Truck</w:t>
      </w:r>
    </w:p>
    <w:p w14:paraId="13A95E26">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发布单</w:t>
      </w:r>
      <w:r>
        <w:rPr>
          <w:rFonts w:hint="eastAsia" w:ascii="Times New Roman" w:hAnsi="Times New Roman" w:eastAsia="仿宋_GB2312"/>
          <w:b/>
          <w:bCs/>
          <w:sz w:val="32"/>
          <w:szCs w:val="32"/>
        </w:rPr>
        <w:t>位：北汽福田汽车股份有限公司</w:t>
      </w:r>
    </w:p>
    <w:p w14:paraId="27A72EC5">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Beiqi Foton Motor Co., Ltd.</w:t>
      </w:r>
    </w:p>
    <w:p w14:paraId="638D855C">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北汽福田“零碳”动力液氢重卡，集23项首创技术，整车、车身、域融合E/E架构及底盘架构实现全面升级，采用适用液氢的300kW燃料电池系统和安全可靠车载液氢系统，以及高效全天候热管理系统，续航里程超1000km。</w:t>
      </w:r>
    </w:p>
    <w:p w14:paraId="37F880DE">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Beiqi Foton's "zero-carbon" liquid hydrogen-powered heavy-duty truck incorporates 23 pioneering technologies, achieving comprehensive upgrades in vehicle integration, body structure, domain-integrated E/E architecture, and chassis framework. Equipped with a 300kW liquid hydrogen-compatible fuel cell system, a secure onboard liquid hydrogen storage system, and an efficient all-climate thermal management system, it delivers an industry-leading range exceeding 1,000 km.</w:t>
      </w:r>
    </w:p>
    <w:p w14:paraId="4742050B">
      <w:pPr>
        <w:widowControl/>
        <w:spacing w:line="560" w:lineRule="exact"/>
        <w:ind w:firstLine="643" w:firstLineChars="200"/>
        <w:rPr>
          <w:rFonts w:ascii="Times New Roman" w:hAnsi="Times New Roman" w:eastAsia="仿宋_GB2312"/>
          <w:b/>
          <w:bCs/>
          <w:sz w:val="32"/>
          <w:szCs w:val="32"/>
        </w:rPr>
      </w:pPr>
    </w:p>
    <w:p w14:paraId="1EFD983F">
      <w:pPr>
        <w:widowControl/>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科技成果五：可持续发展科学卫星1号（SDGSAT-1）</w:t>
      </w:r>
    </w:p>
    <w:p w14:paraId="3D4EABB4">
      <w:pPr>
        <w:widowControl/>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T</w:t>
      </w:r>
      <w:r>
        <w:rPr>
          <w:rFonts w:ascii="Times New Roman" w:hAnsi="Times New Roman" w:eastAsia="仿宋_GB2312"/>
          <w:b/>
          <w:bCs/>
          <w:sz w:val="32"/>
          <w:szCs w:val="32"/>
        </w:rPr>
        <w:t>he Sustainable Development Goals Science Satellite 1</w:t>
      </w:r>
      <w:r>
        <w:rPr>
          <w:rFonts w:hint="eastAsia" w:ascii="Times New Roman" w:hAnsi="Times New Roman" w:eastAsia="仿宋_GB2312"/>
          <w:b/>
          <w:bCs/>
          <w:sz w:val="32"/>
          <w:szCs w:val="32"/>
        </w:rPr>
        <w:t>（SDGSAT-1）</w:t>
      </w:r>
    </w:p>
    <w:p w14:paraId="01C6698E">
      <w:pPr>
        <w:widowControl/>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发布单位：可持续发展大数据国际研究中心</w:t>
      </w:r>
    </w:p>
    <w:p w14:paraId="2B6938AD">
      <w:pPr>
        <w:widowControl/>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International Research Center of Big Data for Sustainable Development Goals</w:t>
      </w:r>
    </w:p>
    <w:p w14:paraId="1E9B8A66">
      <w:pPr>
        <w:widowControl/>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可持续发展科学卫星1号是全球首颗专门服务《联合国2030年可持续发展议程》的科学卫星，可在30米分辨率下识别0.2摄氏度的温度差，全球首创彩色微光设计，可实现地球表面夜间灯光10米的高精度探测，已服务104个国家和10余个联合国机构。</w:t>
      </w:r>
    </w:p>
    <w:p w14:paraId="7132B1C5">
      <w:pPr>
        <w:widowControl/>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SDGSAT-1 is the world's first scientific satellite specifically designed to support the United Nations 2030 Agenda for Sustainable Development. It can identify a temperature difference of 0.2 degrees Celsius at a resolution of 30 meters. With the first innovative design of color nighttime light detection from space, it can capture  high-precision nighttime lights on the Earth's surface with an accuracy of 10 meters. SDGSAT-1 has been applied in 104 countries and over 10 United Nations agencies for SDGs studies.</w:t>
      </w:r>
    </w:p>
    <w:p w14:paraId="6E0FD55D">
      <w:pPr>
        <w:widowControl/>
        <w:spacing w:line="560" w:lineRule="exact"/>
        <w:ind w:firstLine="643" w:firstLineChars="200"/>
        <w:rPr>
          <w:rFonts w:ascii="Times New Roman" w:hAnsi="Times New Roman" w:eastAsia="仿宋_GB2312"/>
          <w:b/>
          <w:bCs/>
          <w:sz w:val="32"/>
          <w:szCs w:val="32"/>
        </w:rPr>
      </w:pPr>
    </w:p>
    <w:p w14:paraId="4AC8630B">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三、面向国家重大需求（5项）</w:t>
      </w:r>
    </w:p>
    <w:p w14:paraId="36BB476C">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科技成果一：移动式混联加工机器人</w:t>
      </w:r>
    </w:p>
    <w:p w14:paraId="7CA5D7A7">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Mobile Hybrid Machining Robot</w:t>
      </w:r>
    </w:p>
    <w:p w14:paraId="765F917D">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发布单位：清华大学</w:t>
      </w:r>
    </w:p>
    <w:p w14:paraId="4B5D6850">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Tsinghua University</w:t>
      </w:r>
    </w:p>
    <w:p w14:paraId="5977A14C">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清华大学团队首创了“手眼脑”协同原位加工模式，发明了轻量化、耦合调姿的五轴并联加工功能部件，攻克了跨尺度测量、静动态精度协同调控技术，研制了移动式混联加工机器人，将大型复杂构件局部加工精度提高2.5倍，全局加工精度提高2倍，加工效率提升3倍。在载人航天与探月等国家重大工程大型构件制造中得到应用。</w:t>
      </w:r>
    </w:p>
    <w:p w14:paraId="26D0D614">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 xml:space="preserve">The research group from Tsinghua University pioneered a “hand-eye-brain” collaborative in-situ machining mode. They invented a lightweight five-axis parallel machining module with coupled posture adjustment capabilities, overcame cross-scale measurement and static-dynamic accuracy control technologies, and developed a novel mobile hybrid machining robot. This innovation can increase the local machining accuracy of </w:t>
      </w:r>
      <w:r>
        <w:rPr>
          <w:rFonts w:hint="eastAsia" w:ascii="Times New Roman" w:hAnsi="Times New Roman" w:eastAsia="仿宋_GB2312"/>
          <w:sz w:val="32"/>
          <w:szCs w:val="32"/>
        </w:rPr>
        <w:t>l</w:t>
      </w:r>
      <w:r>
        <w:rPr>
          <w:rFonts w:ascii="Times New Roman" w:hAnsi="Times New Roman" w:eastAsia="仿宋_GB2312"/>
          <w:sz w:val="32"/>
          <w:szCs w:val="32"/>
        </w:rPr>
        <w:t xml:space="preserve">arge-scale </w:t>
      </w:r>
      <w:r>
        <w:rPr>
          <w:rFonts w:hint="eastAsia" w:ascii="Times New Roman" w:hAnsi="Times New Roman" w:eastAsia="仿宋_GB2312"/>
          <w:sz w:val="32"/>
          <w:szCs w:val="32"/>
        </w:rPr>
        <w:t>c</w:t>
      </w:r>
      <w:r>
        <w:rPr>
          <w:rFonts w:ascii="Times New Roman" w:hAnsi="Times New Roman" w:eastAsia="仿宋_GB2312"/>
          <w:sz w:val="32"/>
          <w:szCs w:val="32"/>
        </w:rPr>
        <w:t xml:space="preserve">omplex </w:t>
      </w:r>
      <w:r>
        <w:rPr>
          <w:rFonts w:hint="eastAsia" w:ascii="Times New Roman" w:hAnsi="Times New Roman" w:eastAsia="仿宋_GB2312"/>
          <w:sz w:val="32"/>
          <w:szCs w:val="32"/>
        </w:rPr>
        <w:t>s</w:t>
      </w:r>
      <w:r>
        <w:rPr>
          <w:rFonts w:ascii="Times New Roman" w:hAnsi="Times New Roman" w:eastAsia="仿宋_GB2312"/>
          <w:sz w:val="32"/>
          <w:szCs w:val="32"/>
        </w:rPr>
        <w:t>tructures by 2.5 times, the global machining accuracy is i</w:t>
      </w:r>
      <w:r>
        <w:rPr>
          <w:rFonts w:hint="eastAsia" w:ascii="Times New Roman" w:hAnsi="Times New Roman" w:eastAsia="仿宋_GB2312"/>
          <w:sz w:val="32"/>
          <w:szCs w:val="32"/>
        </w:rPr>
        <w:t xml:space="preserve">ncreased by 2 times，the </w:t>
      </w:r>
      <w:r>
        <w:rPr>
          <w:rFonts w:ascii="Times New Roman" w:hAnsi="Times New Roman" w:eastAsia="仿宋_GB2312"/>
          <w:sz w:val="32"/>
          <w:szCs w:val="32"/>
        </w:rPr>
        <w:t>machining efficiency</w:t>
      </w:r>
      <w:r>
        <w:rPr>
          <w:rFonts w:hint="eastAsia" w:ascii="Times New Roman" w:hAnsi="Times New Roman" w:eastAsia="仿宋_GB2312"/>
          <w:sz w:val="32"/>
          <w:szCs w:val="32"/>
        </w:rPr>
        <w:t xml:space="preserve"> is improved by 3 times. It has been successfully applied in the manufacturing of large components for national major projects including China's manned spaceflight and lunar exploration programs.</w:t>
      </w:r>
    </w:p>
    <w:p w14:paraId="3F96D49A">
      <w:pPr>
        <w:widowControl/>
        <w:spacing w:line="560" w:lineRule="exact"/>
        <w:textAlignment w:val="center"/>
        <w:rPr>
          <w:rFonts w:ascii="Times New Roman" w:hAnsi="Times New Roman" w:eastAsia="仿宋_GB2312"/>
          <w:b/>
          <w:bCs/>
          <w:sz w:val="32"/>
          <w:szCs w:val="32"/>
        </w:rPr>
      </w:pPr>
    </w:p>
    <w:p w14:paraId="34B17563">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科技成果二：海上风电柔性直流换流装备</w:t>
      </w:r>
    </w:p>
    <w:p w14:paraId="668B9E22">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Flexible HVDC Equipment for Offshore Wind Power</w:t>
      </w:r>
    </w:p>
    <w:p w14:paraId="16F132AE">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发布单位：国家电网有限公司</w:t>
      </w:r>
    </w:p>
    <w:p w14:paraId="31E13AD6">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 xml:space="preserve">State Grid Corporation of China </w:t>
      </w:r>
    </w:p>
    <w:p w14:paraId="3E31FD46">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国家电网团队首创了海上风电柔性直流构网送出技术，研制出百万千瓦级高经济性适海型柔性直流换流装备，换流装备功率密度提升</w:t>
      </w:r>
      <w:r>
        <w:rPr>
          <w:rFonts w:ascii="Times New Roman" w:hAnsi="Times New Roman" w:eastAsia="仿宋_GB2312"/>
          <w:sz w:val="32"/>
          <w:szCs w:val="32"/>
        </w:rPr>
        <w:t>37%</w:t>
      </w:r>
      <w:r>
        <w:rPr>
          <w:rFonts w:hint="eastAsia" w:ascii="Times New Roman" w:hAnsi="Times New Roman" w:eastAsia="仿宋_GB2312"/>
          <w:sz w:val="32"/>
          <w:szCs w:val="32"/>
        </w:rPr>
        <w:t>，海上换流平台体积减小</w:t>
      </w:r>
      <w:r>
        <w:rPr>
          <w:rFonts w:ascii="Times New Roman" w:hAnsi="Times New Roman" w:eastAsia="仿宋_GB2312"/>
          <w:sz w:val="32"/>
          <w:szCs w:val="32"/>
        </w:rPr>
        <w:t>20%</w:t>
      </w:r>
      <w:r>
        <w:rPr>
          <w:rFonts w:hint="eastAsia" w:ascii="Times New Roman" w:hAnsi="Times New Roman" w:eastAsia="仿宋_GB2312"/>
          <w:sz w:val="32"/>
          <w:szCs w:val="32"/>
        </w:rPr>
        <w:t>，工程整体成本降低</w:t>
      </w:r>
      <w:r>
        <w:rPr>
          <w:rFonts w:ascii="Times New Roman" w:hAnsi="Times New Roman" w:eastAsia="仿宋_GB2312"/>
          <w:sz w:val="32"/>
          <w:szCs w:val="32"/>
        </w:rPr>
        <w:t>15%</w:t>
      </w:r>
      <w:r>
        <w:rPr>
          <w:rFonts w:hint="eastAsia" w:ascii="Times New Roman" w:hAnsi="Times New Roman" w:eastAsia="仿宋_GB2312"/>
          <w:sz w:val="32"/>
          <w:szCs w:val="32"/>
        </w:rPr>
        <w:t>，可将200公里以上的数百万千瓦深远海风电稳定、高效送入陆上电网。</w:t>
      </w:r>
    </w:p>
    <w:p w14:paraId="3CF6A794">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The HVDC team of State Grid Corporation of China has pioneered an innovative Grid-Forming based flexible HVDC technology for offshore wind power and developed gigawatt-level, cost-effective, and highly seaworthy flexible HVDC equipment. This innovation has increased the power density of the converter equipment by 37%, slashed the volume of the offshore converter platform by 20%, and cut the overall project cost by 15%. It enables the stable and efficient transmission of gigawatts of deep-sea wind power over 200 kilometers to the onshore power grid.</w:t>
      </w:r>
    </w:p>
    <w:p w14:paraId="1ECE4BE3">
      <w:pPr>
        <w:widowControl/>
        <w:spacing w:line="560" w:lineRule="exact"/>
        <w:ind w:firstLine="640" w:firstLineChars="200"/>
        <w:textAlignment w:val="center"/>
        <w:rPr>
          <w:rFonts w:ascii="Times New Roman" w:hAnsi="Times New Roman" w:eastAsia="仿宋_GB2312"/>
          <w:sz w:val="32"/>
          <w:szCs w:val="32"/>
        </w:rPr>
      </w:pPr>
    </w:p>
    <w:p w14:paraId="6B41F4B1">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科技成果三：全球首次海洋天然气水合物和深海浅层气联合试采成功</w:t>
      </w:r>
    </w:p>
    <w:p w14:paraId="1354CF7B">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 xml:space="preserve">The </w:t>
      </w:r>
      <w:r>
        <w:rPr>
          <w:rFonts w:ascii="Times New Roman" w:hAnsi="Times New Roman" w:eastAsia="仿宋_GB2312"/>
          <w:b/>
          <w:bCs/>
          <w:sz w:val="32"/>
          <w:szCs w:val="32"/>
        </w:rPr>
        <w:t xml:space="preserve">World's First Major </w:t>
      </w:r>
      <w:r>
        <w:rPr>
          <w:rFonts w:hint="eastAsia" w:ascii="Times New Roman" w:hAnsi="Times New Roman" w:eastAsia="仿宋_GB2312"/>
          <w:b/>
          <w:bCs/>
          <w:sz w:val="32"/>
          <w:szCs w:val="32"/>
        </w:rPr>
        <w:t>Success</w:t>
      </w:r>
      <w:r>
        <w:rPr>
          <w:rFonts w:ascii="Times New Roman" w:hAnsi="Times New Roman" w:eastAsia="仿宋_GB2312"/>
          <w:b/>
          <w:bCs/>
          <w:sz w:val="32"/>
          <w:szCs w:val="32"/>
        </w:rPr>
        <w:t xml:space="preserve"> in Joint Trial Exploitation of Marine Gas Hydrates and Shallow Gasin Deep-sea Environments</w:t>
      </w:r>
    </w:p>
    <w:p w14:paraId="5C55111A">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发布单位：中国海洋石油集团有限公司</w:t>
      </w:r>
    </w:p>
    <w:p w14:paraId="1427128E">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China National Offshore Oil Corporation</w:t>
      </w:r>
    </w:p>
    <w:p w14:paraId="467DF460">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中国海油团队创新性提出的“水合物-浅层气-深部气”合采新理论，通过与常规油气共用生产设施降低开发成本，实现天然气水合物的资源利用。在我国南海实施的全球首次水合物与浅层气联合试采作业中，单井日均产气量达10万方以上，比原世界最大日均采气量提升3倍多。</w:t>
      </w:r>
    </w:p>
    <w:p w14:paraId="781E6A9B">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 xml:space="preserve">The CNOOC team has innovatively proposed a new theory of "hydrate-shallow gas-deep gas" co-production, which reduces development costs by sharing production facilities with conventional oil and gas exploitation，thereby enabling the resource utilization of </w:t>
      </w:r>
      <w:r>
        <w:rPr>
          <w:rFonts w:ascii="Times New Roman" w:hAnsi="Times New Roman" w:eastAsia="仿宋_GB2312"/>
          <w:sz w:val="32"/>
          <w:szCs w:val="32"/>
        </w:rPr>
        <w:t>natural gas hydrates. In the world's first joint trial exploitation of gas hydrate and shallow gas in the South China Sea, the average daily gas output per well exceeded 100,000 cubic meters, more than tripling the previous world record for daily gas production.</w:t>
      </w:r>
    </w:p>
    <w:p w14:paraId="6914F039">
      <w:pPr>
        <w:widowControl/>
        <w:spacing w:line="560" w:lineRule="exact"/>
        <w:ind w:firstLine="640" w:firstLineChars="200"/>
        <w:textAlignment w:val="center"/>
        <w:rPr>
          <w:rFonts w:ascii="Times New Roman" w:hAnsi="Times New Roman" w:eastAsia="仿宋_GB2312"/>
          <w:sz w:val="32"/>
          <w:szCs w:val="32"/>
        </w:rPr>
      </w:pPr>
    </w:p>
    <w:p w14:paraId="6350A361">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科技成果四：大尺寸高温超导镀膜设备</w:t>
      </w:r>
    </w:p>
    <w:p w14:paraId="265301E5">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L</w:t>
      </w:r>
      <w:r>
        <w:rPr>
          <w:rFonts w:ascii="Times New Roman" w:hAnsi="Times New Roman" w:eastAsia="仿宋_GB2312"/>
          <w:b/>
          <w:bCs/>
          <w:sz w:val="32"/>
          <w:szCs w:val="32"/>
        </w:rPr>
        <w:t>arge-Scale High-Temperature Superconducting Thin Film Equipment</w:t>
      </w:r>
    </w:p>
    <w:p w14:paraId="2798B6ED">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发布单位：中国科学院物理研究所、松山湖材料实验室</w:t>
      </w:r>
    </w:p>
    <w:p w14:paraId="28B166C5">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Institute of Physics Chinese Academy of Sciences</w:t>
      </w:r>
    </w:p>
    <w:p w14:paraId="1449BB9C">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Songshan Lake Materials Laboratory</w:t>
      </w:r>
    </w:p>
    <w:p w14:paraId="28AE7126">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中国科学院物理研究所与松山湖材料实验室联合创制从连续组分单晶薄膜到大尺寸应用型薄膜的新技术路线，成功研发出支撑高温超导电子学器件研发的大尺寸镀膜设备，制备出2英寸双面YBCO超导单晶薄膜，实现高温超导电子学器件“芯”的国产化替代。</w:t>
      </w:r>
    </w:p>
    <w:p w14:paraId="717DC0ED">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The National Lab for Superconductivity, the Institute of Physics at the Chinese Academy of Sciences, and Songshan Lake Materials Laboratory have collaboratively developed an innovative technological pathway for producing both continuous-composition single-crystal thin films and large-scale practical thin films. This partnership has led to the successful creation of advanced large-scale film deposition equipment which has successfully enabled the fabrication of 2-inch double-sided YBCO high-temperature superconducting (HTS) single-crystal thin films, supporting the research and development of high-temperature superconducting electronic devices. This breakthrough has enabled the domestic production of core components for high-temperature superconducting electronics.</w:t>
      </w:r>
    </w:p>
    <w:p w14:paraId="0510A39C">
      <w:pPr>
        <w:widowControl/>
        <w:spacing w:line="560" w:lineRule="exact"/>
        <w:textAlignment w:val="center"/>
        <w:rPr>
          <w:rFonts w:ascii="Times New Roman" w:hAnsi="Times New Roman" w:eastAsia="仿宋_GB2312"/>
          <w:b/>
          <w:bCs/>
          <w:sz w:val="32"/>
          <w:szCs w:val="32"/>
          <w:lang w:eastAsia="zh"/>
        </w:rPr>
      </w:pPr>
    </w:p>
    <w:p w14:paraId="38C87C0E">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 xml:space="preserve">科技成果五：大冷量稀释制冷机“凌开一号” </w:t>
      </w:r>
    </w:p>
    <w:p w14:paraId="5FC854C9">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High Cooling Power Dilution Refrigerator - "Zero-Kelvin One"</w:t>
      </w:r>
    </w:p>
    <w:p w14:paraId="7E4C0A16">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发布单位：北京量子信息科学研究院、中国科学院物理研究所</w:t>
      </w:r>
    </w:p>
    <w:p w14:paraId="5C3E39DF">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Beijing Academy of Quantum Information Sciences</w:t>
      </w:r>
    </w:p>
    <w:p w14:paraId="6FF9F4D6">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Institute of Physics, Chinese Academy of Science</w:t>
      </w:r>
    </w:p>
    <w:p w14:paraId="462BE880">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针对未来大规模量子计算对设备的制冷量和系统容量要求，北京量子信息科学研究院与中国科学院物理研究所团队研制出大冷量稀释制冷机“凌开一号”，在原有基础上制冷量加倍，其模块化布局突破传统架构束缚，通过弹性拼接可满足从当前实验室研发到未来大型量子计算机需求。</w:t>
      </w:r>
    </w:p>
    <w:p w14:paraId="719A78CC">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To address the future demands of large-scale quantum computing for enhanced cooling capacity and space efficiency, researchers from the Beijing Academy of Quantum Information Sciences and the Institute of Physics, Chinese Academy of Sciences have developed the "Zero-Kelvin One," a high cooling power dilution refrigerator. This innovation not only doubles the original cooling capacity but also features a modular design that overcomes the limitations of traditional architectures. With its flexible assembly, the "Zero-Kelvin One" is capable of meeting the needs of both ongoing laboratory research and future large-scale quantum computing systems.</w:t>
      </w:r>
    </w:p>
    <w:p w14:paraId="1D834FBE">
      <w:pPr>
        <w:widowControl/>
        <w:spacing w:line="560" w:lineRule="exact"/>
        <w:ind w:firstLine="640" w:firstLineChars="200"/>
        <w:textAlignment w:val="center"/>
        <w:rPr>
          <w:rFonts w:ascii="Times New Roman" w:hAnsi="Times New Roman" w:eastAsia="仿宋_GB2312"/>
          <w:sz w:val="32"/>
          <w:szCs w:val="32"/>
        </w:rPr>
      </w:pPr>
    </w:p>
    <w:p w14:paraId="5196EC50">
      <w:pPr>
        <w:spacing w:line="560" w:lineRule="exact"/>
        <w:ind w:firstLine="640" w:firstLineChars="200"/>
        <w:rPr>
          <w:rFonts w:ascii="Times New Roman" w:hAnsi="Times New Roman" w:eastAsia="仿宋_GB2312"/>
          <w:b/>
          <w:bCs/>
          <w:sz w:val="32"/>
          <w:szCs w:val="32"/>
        </w:rPr>
      </w:pPr>
      <w:r>
        <w:rPr>
          <w:rFonts w:hint="eastAsia" w:ascii="Times New Roman" w:hAnsi="Times New Roman" w:eastAsia="黑体"/>
          <w:sz w:val="32"/>
          <w:szCs w:val="32"/>
        </w:rPr>
        <w:t>四、面向人民生命健康（5项）</w:t>
      </w:r>
    </w:p>
    <w:p w14:paraId="25F48D0F">
      <w:pPr>
        <w:spacing w:line="560" w:lineRule="exact"/>
        <w:ind w:firstLine="643" w:firstLineChars="200"/>
        <w:rPr>
          <w:rFonts w:ascii="Times New Roman" w:hAnsi="Times New Roman" w:eastAsia="仿宋_GB2312"/>
          <w:b/>
          <w:bCs/>
          <w:sz w:val="32"/>
          <w:szCs w:val="32"/>
        </w:rPr>
      </w:pPr>
      <w:r>
        <w:rPr>
          <w:rFonts w:hint="eastAsia" w:ascii="Times New Roman" w:hAnsi="Times New Roman" w:eastAsia="仿宋_GB2312"/>
          <w:b/>
          <w:bCs/>
          <w:sz w:val="32"/>
          <w:szCs w:val="32"/>
        </w:rPr>
        <w:t>科技成果一：“北脑一号”智能脑机系统</w:t>
      </w:r>
      <w:r>
        <w:rPr>
          <w:rFonts w:ascii="Times New Roman" w:hAnsi="Times New Roman" w:eastAsia="仿宋_GB2312"/>
          <w:b/>
          <w:bCs/>
          <w:sz w:val="32"/>
          <w:szCs w:val="32"/>
        </w:rPr>
        <w:t xml:space="preserve"> </w:t>
      </w:r>
    </w:p>
    <w:p w14:paraId="0868B062">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The “NeuCyber Matrix BMI System”</w:t>
      </w:r>
    </w:p>
    <w:p w14:paraId="31D443AE">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发布单位：北京脑科学与类脑研究所、北京芯智达神经技术有限公司</w:t>
      </w:r>
    </w:p>
    <w:p w14:paraId="0D03DDD9">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 xml:space="preserve">Chinese Institute for Brain Research, Beijing </w:t>
      </w:r>
    </w:p>
    <w:p w14:paraId="43E33DBC">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NeuCyber NeuroTech (Beijing) Co. ,Ltd.</w:t>
      </w:r>
    </w:p>
    <w:p w14:paraId="37352BC6">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北京脑科学与类脑研究所、北京芯智达神经技术有限公司团队研发的“北脑一号”智能脑机系统已完成128通道微型无线全植入产品研发。经临床验证，“北脑一号”</w:t>
      </w:r>
      <w:r>
        <w:rPr>
          <w:rFonts w:hint="eastAsia" w:ascii="Times New Roman" w:hAnsi="Times New Roman"/>
        </w:rPr>
        <w:t xml:space="preserve"> </w:t>
      </w:r>
      <w:r>
        <w:rPr>
          <w:rFonts w:hint="eastAsia" w:ascii="Times New Roman" w:hAnsi="Times New Roman" w:eastAsia="仿宋_GB2312"/>
          <w:sz w:val="32"/>
          <w:szCs w:val="32"/>
        </w:rPr>
        <w:t>植入后有效通道数达98%以上，通过术后的数据采集和信号解码，能够帮助运动功能障碍患者实现脑机接口控制，帮助</w:t>
      </w:r>
      <w:r>
        <w:rPr>
          <w:rFonts w:hint="eastAsia" w:ascii="Times New Roman" w:hAnsi="Times New Roman" w:eastAsia="仿宋_GB2312"/>
          <w:sz w:val="32"/>
          <w:szCs w:val="32"/>
          <w:highlight w:val="yellow"/>
        </w:rPr>
        <w:t>言语障碍</w:t>
      </w:r>
      <w:r>
        <w:rPr>
          <w:rFonts w:hint="eastAsia" w:ascii="Times New Roman" w:hAnsi="Times New Roman" w:eastAsia="仿宋_GB2312"/>
          <w:sz w:val="32"/>
          <w:szCs w:val="32"/>
        </w:rPr>
        <w:t>患者重建交流能力。</w:t>
      </w:r>
    </w:p>
    <w:p w14:paraId="1F52040D">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The “NeuCyber Matrix BMI System”, a collaborative innovation between CIBR and NeuCyber, is a sophisticated wireless Brain-Machine Interface (BMI) system featuring a thin, flexible nano-fabricated 128-channel film microelectrode integrated with a compact micro-circuit for ECoG signal recording and processing. Clinical evidence demonstrates that over 98% of the channels remain functional post-surgery. Paralyzed patients are successfully adapting to and utilizing the system to control external devices, compensating for their loss of motor function. Notably, for the first time, a dysarthria patient has been able to output Chinese language through the BMI system, regaining the ability to communicate.</w:t>
      </w:r>
    </w:p>
    <w:p w14:paraId="0DDD224D">
      <w:pPr>
        <w:widowControl/>
        <w:spacing w:line="560" w:lineRule="exact"/>
        <w:ind w:firstLine="643" w:firstLineChars="200"/>
        <w:textAlignment w:val="center"/>
        <w:rPr>
          <w:rFonts w:ascii="Times New Roman" w:hAnsi="Times New Roman" w:eastAsia="仿宋_GB2312"/>
          <w:b/>
          <w:bCs/>
          <w:sz w:val="32"/>
          <w:szCs w:val="32"/>
          <w:highlight w:val="yellow"/>
        </w:rPr>
      </w:pPr>
    </w:p>
    <w:p w14:paraId="4FD7C160">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科技成果二：放射性药物共价技术</w:t>
      </w:r>
    </w:p>
    <w:p w14:paraId="7A99849C">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Covalent Modification Technology for Radiopharmaceuticals</w:t>
      </w:r>
    </w:p>
    <w:p w14:paraId="0D833629">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发布单位：北京昌平实验室、</w:t>
      </w:r>
      <w:r>
        <w:rPr>
          <w:rFonts w:ascii="Times New Roman" w:hAnsi="Times New Roman" w:eastAsia="仿宋_GB2312"/>
          <w:b/>
          <w:bCs/>
          <w:sz w:val="32"/>
          <w:szCs w:val="32"/>
        </w:rPr>
        <w:t>北京大学</w:t>
      </w:r>
    </w:p>
    <w:p w14:paraId="44222295">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Beijing Changping Laboratory</w:t>
      </w:r>
    </w:p>
    <w:p w14:paraId="6C51A5B3">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Peking University</w:t>
      </w:r>
    </w:p>
    <w:p w14:paraId="040ED35B">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北京昌平实验室和北京大学团队开发了放射性药物的共价技术，可以将放射性药物的肿瘤递送效率提高10倍以上，同时不影响其从健康组织中快速清除，兼顾了高疗效与低毒副作用。作为一类放射性药物研发的平台技术，已成功用于优化靶向肿瘤微环境的放射性示踪剂，临床研究显示，可将甲状腺髓样癌病灶检出率从原手段的66%提升至98%。</w:t>
      </w:r>
    </w:p>
    <w:p w14:paraId="22AEE565">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An innovative covalent modification technology for radiopharmaceuticals, developed by Beijing Changping Laboratory and Peking University team, has been shown to increase tumor delivery efficiency by over 10 times without affecting the rapid clearance from healthy tissues, thus achieving both high therapeutic efficacy and low toxicity. As a platform technology for radiopharmaceutical development, it has been successfully applied to optimize radioactive tracers targeting the tumor microenvironment. Clinical investigations revealed a remarkable improvement in lesion detection rates for medullary thyroid carcinoma, elevating from 66% with conventional diagnostic modalities to 98% with this novel approach.</w:t>
      </w:r>
    </w:p>
    <w:p w14:paraId="34DB1572">
      <w:pPr>
        <w:widowControl/>
        <w:spacing w:line="560" w:lineRule="exact"/>
        <w:ind w:firstLine="640" w:firstLineChars="200"/>
        <w:textAlignment w:val="center"/>
        <w:rPr>
          <w:rFonts w:ascii="Times New Roman" w:hAnsi="Times New Roman" w:eastAsia="仿宋_GB2312"/>
          <w:sz w:val="32"/>
          <w:szCs w:val="32"/>
        </w:rPr>
      </w:pPr>
    </w:p>
    <w:p w14:paraId="47CF0B9F">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科技成果三：国内首创脑与脊柱一体化手术机器人</w:t>
      </w:r>
    </w:p>
    <w:p w14:paraId="03477C96">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 xml:space="preserve">The First Domestic Neuro &amp; Spinal Surgical Robot </w:t>
      </w:r>
    </w:p>
    <w:p w14:paraId="6CFDAA20">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发布单位：华科精准（北京）医疗设备股份有限公司、</w:t>
      </w:r>
      <w:r>
        <w:rPr>
          <w:rFonts w:ascii="Times New Roman" w:hAnsi="Times New Roman" w:eastAsia="仿宋_GB2312"/>
          <w:b/>
          <w:bCs/>
          <w:sz w:val="32"/>
          <w:szCs w:val="32"/>
        </w:rPr>
        <w:t>清华大学</w:t>
      </w:r>
    </w:p>
    <w:p w14:paraId="26310365">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Sinovation (Beijing) Medical Technology Co. Ltd.</w:t>
      </w:r>
    </w:p>
    <w:p w14:paraId="00521E00">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Tsinghua University</w:t>
      </w:r>
    </w:p>
    <w:p w14:paraId="5A7485E2">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华科精准联合清华大学研发国内首创一体覆盖脑与脊柱等神经系统疾病临床术式的手术机器人，位置精准度≤0.5mm，支持8种影像模态，配准速度达15s，满足了神经外科精准、微创、安全手术多重临床需求。</w:t>
      </w:r>
    </w:p>
    <w:p w14:paraId="0D6D8F9B">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Sinovation (Beijing) Medical Technology Co. Ltd., collaborated with Tsinghua University, developed the first domestic neuro &amp; spinal surgical robot applicable for clinical surgical procedures for neurological diseases of the brain and spine. This system pr</w:t>
      </w:r>
      <w:r>
        <w:rPr>
          <w:rFonts w:hint="eastAsia" w:ascii="Times New Roman" w:hAnsi="Times New Roman" w:eastAsia="仿宋_GB2312"/>
          <w:sz w:val="32"/>
          <w:szCs w:val="32"/>
        </w:rPr>
        <w:t>ovides a positioning accuracy of ≤0.5mm, supports 8 imaging modalities, and has a registration speed of 15s. This surgical robot satisfies multiple clinical needs of precise, minimally invasive, and safe surgeries in the</w:t>
      </w:r>
      <w:r>
        <w:rPr>
          <w:rFonts w:ascii="Times New Roman" w:hAnsi="Times New Roman" w:eastAsia="仿宋_GB2312"/>
          <w:sz w:val="32"/>
          <w:szCs w:val="32"/>
        </w:rPr>
        <w:t xml:space="preserve"> Department of Neurosurgery.</w:t>
      </w:r>
    </w:p>
    <w:p w14:paraId="43411D79">
      <w:pPr>
        <w:widowControl/>
        <w:spacing w:line="560" w:lineRule="exact"/>
        <w:ind w:firstLine="640" w:firstLineChars="200"/>
        <w:textAlignment w:val="center"/>
        <w:rPr>
          <w:rFonts w:ascii="Times New Roman" w:hAnsi="Times New Roman" w:eastAsia="仿宋_GB2312"/>
          <w:sz w:val="32"/>
          <w:szCs w:val="32"/>
        </w:rPr>
      </w:pPr>
    </w:p>
    <w:p w14:paraId="341473CA">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科技成果四：首款脑胶质瘤原研靶向药物——伯瑞替尼</w:t>
      </w:r>
    </w:p>
    <w:p w14:paraId="3B9B17B0">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 xml:space="preserve">The </w:t>
      </w:r>
      <w:r>
        <w:rPr>
          <w:rFonts w:ascii="Times New Roman" w:hAnsi="Times New Roman" w:eastAsia="仿宋_GB2312"/>
          <w:b/>
          <w:bCs/>
          <w:sz w:val="32"/>
          <w:szCs w:val="32"/>
        </w:rPr>
        <w:t>World's First Approved Targeted Inhibitor for Glioma</w:t>
      </w:r>
    </w:p>
    <w:p w14:paraId="0FAAD524">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发布单位：北京市神经外科研究所、北京鞍石生物科技股份有限公司</w:t>
      </w:r>
    </w:p>
    <w:p w14:paraId="2211FE0E">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Beijing Neurosurgical Institute, Beijing Avistone Biotechnology Co.,Ltd</w:t>
      </w:r>
    </w:p>
    <w:p w14:paraId="27BF87DE">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北京市神经外科研究所与北京鞍石生物团队首次发现并命名全新融合基因PTPRZ1-MET，自主研发MET小分子靶向药物伯瑞替尼，是第一个上市的脑胶质瘤相关原研靶向药物，填补该类患者无药可治的空白。使得脑胶质瘤患者生存期延长一倍，疾病进展风险降低了一半。</w:t>
      </w:r>
    </w:p>
    <w:p w14:paraId="155136E4">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The Beijing Neurosurgical Institute and Beijing Avistone Biotechnology team have identified and named a novel fusion gene internationally. Based on this identification, they developed the small molecule targeted MET inhibitor, Vebreltinib. Vebreltinib has doubled the overall survival time for glioma patients and halved the risk of disease progression.</w:t>
      </w:r>
    </w:p>
    <w:p w14:paraId="79CC158E">
      <w:pPr>
        <w:widowControl/>
        <w:spacing w:line="560" w:lineRule="exact"/>
        <w:ind w:firstLine="640" w:firstLineChars="200"/>
        <w:textAlignment w:val="center"/>
        <w:rPr>
          <w:rFonts w:ascii="Times New Roman" w:hAnsi="Times New Roman" w:eastAsia="仿宋_GB2312"/>
          <w:sz w:val="32"/>
          <w:szCs w:val="32"/>
        </w:rPr>
      </w:pPr>
    </w:p>
    <w:p w14:paraId="2563D47C">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科技成果五： ARC生物耦合技术</w:t>
      </w:r>
    </w:p>
    <w:p w14:paraId="1EEB89DA">
      <w:pPr>
        <w:widowControl/>
        <w:spacing w:line="560" w:lineRule="exact"/>
        <w:ind w:firstLine="643" w:firstLineChars="200"/>
        <w:textAlignment w:val="center"/>
        <w:rPr>
          <w:rFonts w:ascii="Times New Roman" w:hAnsi="Times New Roman" w:eastAsia="仿宋_GB2312"/>
          <w:b/>
          <w:bCs/>
          <w:sz w:val="32"/>
          <w:szCs w:val="32"/>
        </w:rPr>
      </w:pPr>
      <w:r>
        <w:rPr>
          <w:rFonts w:ascii="Times New Roman" w:hAnsi="Times New Roman" w:eastAsia="仿宋_GB2312"/>
          <w:b/>
          <w:bCs/>
          <w:sz w:val="32"/>
          <w:szCs w:val="32"/>
        </w:rPr>
        <w:t xml:space="preserve">ARC </w:t>
      </w:r>
      <w:r>
        <w:rPr>
          <w:rFonts w:hint="eastAsia" w:ascii="Times New Roman" w:hAnsi="Times New Roman" w:eastAsia="仿宋_GB2312"/>
          <w:b/>
          <w:bCs/>
          <w:sz w:val="32"/>
          <w:szCs w:val="32"/>
        </w:rPr>
        <w:t>I</w:t>
      </w:r>
      <w:r>
        <w:rPr>
          <w:rFonts w:ascii="Times New Roman" w:hAnsi="Times New Roman" w:eastAsia="仿宋_GB2312"/>
          <w:b/>
          <w:bCs/>
          <w:sz w:val="32"/>
          <w:szCs w:val="32"/>
        </w:rPr>
        <w:t xml:space="preserve">noculant </w:t>
      </w:r>
      <w:r>
        <w:rPr>
          <w:rFonts w:hint="eastAsia" w:ascii="Times New Roman" w:hAnsi="Times New Roman" w:eastAsia="仿宋_GB2312"/>
          <w:b/>
          <w:bCs/>
          <w:sz w:val="32"/>
          <w:szCs w:val="32"/>
        </w:rPr>
        <w:t>B</w:t>
      </w:r>
      <w:r>
        <w:rPr>
          <w:rFonts w:ascii="Times New Roman" w:hAnsi="Times New Roman" w:eastAsia="仿宋_GB2312"/>
          <w:b/>
          <w:bCs/>
          <w:sz w:val="32"/>
          <w:szCs w:val="32"/>
        </w:rPr>
        <w:t xml:space="preserve">iological </w:t>
      </w:r>
      <w:r>
        <w:rPr>
          <w:rFonts w:hint="eastAsia" w:ascii="Times New Roman" w:hAnsi="Times New Roman" w:eastAsia="仿宋_GB2312"/>
          <w:b/>
          <w:bCs/>
          <w:sz w:val="32"/>
          <w:szCs w:val="32"/>
        </w:rPr>
        <w:t>C</w:t>
      </w:r>
      <w:r>
        <w:rPr>
          <w:rFonts w:ascii="Times New Roman" w:hAnsi="Times New Roman" w:eastAsia="仿宋_GB2312"/>
          <w:b/>
          <w:bCs/>
          <w:sz w:val="32"/>
          <w:szCs w:val="32"/>
        </w:rPr>
        <w:t>oupling</w:t>
      </w:r>
    </w:p>
    <w:p w14:paraId="01DB621B">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发布单位：中国农业科学院油料作物研究所</w:t>
      </w:r>
    </w:p>
    <w:p w14:paraId="7D904136">
      <w:pPr>
        <w:widowControl/>
        <w:spacing w:line="560" w:lineRule="exact"/>
        <w:ind w:firstLine="643" w:firstLineChars="200"/>
        <w:textAlignment w:val="center"/>
        <w:rPr>
          <w:rFonts w:ascii="Times New Roman" w:hAnsi="Times New Roman" w:eastAsia="仿宋_GB2312"/>
          <w:b/>
          <w:bCs/>
          <w:sz w:val="32"/>
          <w:szCs w:val="32"/>
        </w:rPr>
      </w:pPr>
      <w:r>
        <w:rPr>
          <w:rFonts w:hint="eastAsia" w:ascii="Times New Roman" w:hAnsi="Times New Roman" w:eastAsia="仿宋_GB2312"/>
          <w:b/>
          <w:bCs/>
          <w:sz w:val="32"/>
          <w:szCs w:val="32"/>
        </w:rPr>
        <w:t>O</w:t>
      </w:r>
      <w:r>
        <w:rPr>
          <w:rFonts w:ascii="Times New Roman" w:hAnsi="Times New Roman" w:eastAsia="仿宋_GB2312"/>
          <w:b/>
          <w:bCs/>
          <w:sz w:val="32"/>
          <w:szCs w:val="32"/>
        </w:rPr>
        <w:t xml:space="preserve">il </w:t>
      </w:r>
      <w:r>
        <w:rPr>
          <w:rFonts w:hint="eastAsia" w:ascii="Times New Roman" w:hAnsi="Times New Roman" w:eastAsia="仿宋_GB2312"/>
          <w:b/>
          <w:bCs/>
          <w:sz w:val="32"/>
          <w:szCs w:val="32"/>
        </w:rPr>
        <w:t>C</w:t>
      </w:r>
      <w:r>
        <w:rPr>
          <w:rFonts w:ascii="Times New Roman" w:hAnsi="Times New Roman" w:eastAsia="仿宋_GB2312"/>
          <w:b/>
          <w:bCs/>
          <w:sz w:val="32"/>
          <w:szCs w:val="32"/>
        </w:rPr>
        <w:t xml:space="preserve">rops </w:t>
      </w:r>
      <w:r>
        <w:rPr>
          <w:rFonts w:hint="eastAsia" w:ascii="Times New Roman" w:hAnsi="Times New Roman" w:eastAsia="仿宋_GB2312"/>
          <w:b/>
          <w:bCs/>
          <w:sz w:val="32"/>
          <w:szCs w:val="32"/>
        </w:rPr>
        <w:t>R</w:t>
      </w:r>
      <w:r>
        <w:rPr>
          <w:rFonts w:ascii="Times New Roman" w:hAnsi="Times New Roman" w:eastAsia="仿宋_GB2312"/>
          <w:b/>
          <w:bCs/>
          <w:sz w:val="32"/>
          <w:szCs w:val="32"/>
        </w:rPr>
        <w:t xml:space="preserve">esearch </w:t>
      </w:r>
      <w:r>
        <w:rPr>
          <w:rFonts w:hint="eastAsia" w:ascii="Times New Roman" w:hAnsi="Times New Roman" w:eastAsia="仿宋_GB2312"/>
          <w:b/>
          <w:bCs/>
          <w:sz w:val="32"/>
          <w:szCs w:val="32"/>
        </w:rPr>
        <w:t>I</w:t>
      </w:r>
      <w:r>
        <w:rPr>
          <w:rFonts w:ascii="Times New Roman" w:hAnsi="Times New Roman" w:eastAsia="仿宋_GB2312"/>
          <w:b/>
          <w:bCs/>
          <w:sz w:val="32"/>
          <w:szCs w:val="32"/>
        </w:rPr>
        <w:t xml:space="preserve">nstitute, </w:t>
      </w:r>
      <w:r>
        <w:rPr>
          <w:rFonts w:hint="eastAsia" w:ascii="Times New Roman" w:hAnsi="Times New Roman" w:eastAsia="仿宋_GB2312"/>
          <w:b/>
          <w:bCs/>
          <w:sz w:val="32"/>
          <w:szCs w:val="32"/>
        </w:rPr>
        <w:t>C</w:t>
      </w:r>
      <w:r>
        <w:rPr>
          <w:rFonts w:ascii="Times New Roman" w:hAnsi="Times New Roman" w:eastAsia="仿宋_GB2312"/>
          <w:b/>
          <w:bCs/>
          <w:sz w:val="32"/>
          <w:szCs w:val="32"/>
        </w:rPr>
        <w:t xml:space="preserve">hinese </w:t>
      </w:r>
      <w:r>
        <w:rPr>
          <w:rFonts w:hint="eastAsia" w:ascii="Times New Roman" w:hAnsi="Times New Roman" w:eastAsia="仿宋_GB2312"/>
          <w:b/>
          <w:bCs/>
          <w:sz w:val="32"/>
          <w:szCs w:val="32"/>
        </w:rPr>
        <w:t>A</w:t>
      </w:r>
      <w:r>
        <w:rPr>
          <w:rFonts w:ascii="Times New Roman" w:hAnsi="Times New Roman" w:eastAsia="仿宋_GB2312"/>
          <w:b/>
          <w:bCs/>
          <w:sz w:val="32"/>
          <w:szCs w:val="32"/>
        </w:rPr>
        <w:t xml:space="preserve">cademy of </w:t>
      </w:r>
      <w:r>
        <w:rPr>
          <w:rFonts w:hint="eastAsia" w:ascii="Times New Roman" w:hAnsi="Times New Roman" w:eastAsia="仿宋_GB2312"/>
          <w:b/>
          <w:bCs/>
          <w:sz w:val="32"/>
          <w:szCs w:val="32"/>
        </w:rPr>
        <w:t>A</w:t>
      </w:r>
      <w:r>
        <w:rPr>
          <w:rFonts w:ascii="Times New Roman" w:hAnsi="Times New Roman" w:eastAsia="仿宋_GB2312"/>
          <w:b/>
          <w:bCs/>
          <w:sz w:val="32"/>
          <w:szCs w:val="32"/>
        </w:rPr>
        <w:t xml:space="preserve">gricultural </w:t>
      </w:r>
      <w:r>
        <w:rPr>
          <w:rFonts w:hint="eastAsia" w:ascii="Times New Roman" w:hAnsi="Times New Roman" w:eastAsia="仿宋_GB2312"/>
          <w:b/>
          <w:bCs/>
          <w:sz w:val="32"/>
          <w:szCs w:val="32"/>
        </w:rPr>
        <w:t>S</w:t>
      </w:r>
      <w:r>
        <w:rPr>
          <w:rFonts w:ascii="Times New Roman" w:hAnsi="Times New Roman" w:eastAsia="仿宋_GB2312"/>
          <w:b/>
          <w:bCs/>
          <w:sz w:val="32"/>
          <w:szCs w:val="32"/>
        </w:rPr>
        <w:t>ciences</w:t>
      </w:r>
    </w:p>
    <w:p w14:paraId="584F5D1B">
      <w:pPr>
        <w:widowControl/>
        <w:spacing w:line="560" w:lineRule="exact"/>
        <w:ind w:firstLine="640" w:firstLineChars="200"/>
        <w:textAlignment w:val="center"/>
        <w:rPr>
          <w:rFonts w:ascii="Times New Roman" w:hAnsi="Times New Roman" w:eastAsia="仿宋_GB2312"/>
          <w:sz w:val="32"/>
          <w:szCs w:val="32"/>
        </w:rPr>
      </w:pPr>
      <w:r>
        <w:rPr>
          <w:rFonts w:hint="eastAsia" w:ascii="Times New Roman" w:hAnsi="Times New Roman" w:eastAsia="仿宋_GB2312"/>
          <w:sz w:val="32"/>
          <w:szCs w:val="32"/>
        </w:rPr>
        <w:t>黄曲霉毒素土壤源头阻控与结瘤固氮效率提升是花生大豆提质增产两大共性国际难题。中国农业科学院团队研发的花生大豆提质固氮绿色增产ARC生物耦合技术，根瘤数与固氮酶活分别增加3.7倍、4.8倍以上，产量增幅分别超过19%和15%，同时黄曲霉产毒菌阻控效果63%以上，在22省开展千亩、万亩方和10万亩片规模化示范，可减施氮肥20%-40%。</w:t>
      </w:r>
    </w:p>
    <w:p w14:paraId="52E44572">
      <w:pPr>
        <w:widowControl/>
        <w:spacing w:line="560" w:lineRule="exact"/>
        <w:ind w:firstLine="640" w:firstLineChars="200"/>
        <w:textAlignment w:val="center"/>
        <w:rPr>
          <w:rFonts w:ascii="Times New Roman" w:hAnsi="Times New Roman" w:eastAsia="仿宋_GB2312"/>
          <w:sz w:val="32"/>
          <w:szCs w:val="32"/>
        </w:rPr>
      </w:pPr>
      <w:r>
        <w:rPr>
          <w:rFonts w:ascii="Times New Roman" w:hAnsi="Times New Roman" w:eastAsia="仿宋_GB2312"/>
          <w:sz w:val="32"/>
          <w:szCs w:val="32"/>
        </w:rPr>
        <w:t>Both aflatoxin prevention from field and nodulation &amp; nitrogen fixation efficiency enhancement are the two major common international challenges for improving quality and increasing yield of peanuts and soybeans. The green biological ARC inoculant with coupled functions of quality improvement, nitrogen fixation and yield increase developed by the team from Chinese Academy of Agricultural Sciences has increased the number of root nodules and nitrogenase activity by more than 3.7 and 4.8 folds, respectively, with yield increase exceeding 19% and 15%, respectively. Meanwhile, the prevention effect on aflatoxin producing Aspergillus fungi reached more than 63%. The novel technology was widely applied in peanut and soybean production from one thousand mu field to one hundred thousands mu scale in 22 provinces of China. The results showed that chemical nitrogen fertilizer usage could be reduced from 20% to 40%.</w:t>
      </w:r>
    </w:p>
    <w:p w14:paraId="77B3B098">
      <w:pPr>
        <w:widowControl/>
        <w:spacing w:line="560" w:lineRule="exact"/>
        <w:ind w:firstLine="640" w:firstLineChars="200"/>
        <w:textAlignment w:val="center"/>
        <w:rPr>
          <w:rFonts w:ascii="Times New Roman" w:hAnsi="Times New Roman" w:eastAsia="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小标宋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5487299"/>
      <w:docPartObj>
        <w:docPartGallery w:val="AutoText"/>
      </w:docPartObj>
    </w:sdtPr>
    <w:sdtEndPr>
      <w:rPr>
        <w:sz w:val="28"/>
        <w:szCs w:val="28"/>
      </w:rPr>
    </w:sdtEndPr>
    <w:sdtContent>
      <w:p w14:paraId="3BDDDB25">
        <w:pPr>
          <w:pStyle w:val="4"/>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14:paraId="74D7A4D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8B"/>
    <w:rsid w:val="00002ED5"/>
    <w:rsid w:val="00007A23"/>
    <w:rsid w:val="00011D14"/>
    <w:rsid w:val="00012EFF"/>
    <w:rsid w:val="00014843"/>
    <w:rsid w:val="00031875"/>
    <w:rsid w:val="00036218"/>
    <w:rsid w:val="0003729A"/>
    <w:rsid w:val="0004170C"/>
    <w:rsid w:val="0006438D"/>
    <w:rsid w:val="00072516"/>
    <w:rsid w:val="00082778"/>
    <w:rsid w:val="00083248"/>
    <w:rsid w:val="0008556A"/>
    <w:rsid w:val="00087DC5"/>
    <w:rsid w:val="00091AE1"/>
    <w:rsid w:val="000A571E"/>
    <w:rsid w:val="000A7FBB"/>
    <w:rsid w:val="000D6EB1"/>
    <w:rsid w:val="000E6F41"/>
    <w:rsid w:val="00100A91"/>
    <w:rsid w:val="001177FB"/>
    <w:rsid w:val="00122B72"/>
    <w:rsid w:val="001269ED"/>
    <w:rsid w:val="00127944"/>
    <w:rsid w:val="001329BA"/>
    <w:rsid w:val="0016366F"/>
    <w:rsid w:val="0017314D"/>
    <w:rsid w:val="001737AD"/>
    <w:rsid w:val="00174B90"/>
    <w:rsid w:val="00190D3A"/>
    <w:rsid w:val="00194BAB"/>
    <w:rsid w:val="001A6BD1"/>
    <w:rsid w:val="001E51F0"/>
    <w:rsid w:val="00207F0C"/>
    <w:rsid w:val="00214460"/>
    <w:rsid w:val="002545AB"/>
    <w:rsid w:val="00254FC3"/>
    <w:rsid w:val="00273DC5"/>
    <w:rsid w:val="002A0193"/>
    <w:rsid w:val="002A3BCB"/>
    <w:rsid w:val="002B52DC"/>
    <w:rsid w:val="002B7371"/>
    <w:rsid w:val="002C0394"/>
    <w:rsid w:val="002D7C86"/>
    <w:rsid w:val="002D7E6E"/>
    <w:rsid w:val="00324134"/>
    <w:rsid w:val="0032435C"/>
    <w:rsid w:val="00326E08"/>
    <w:rsid w:val="003354B5"/>
    <w:rsid w:val="003404DD"/>
    <w:rsid w:val="003413C8"/>
    <w:rsid w:val="00345084"/>
    <w:rsid w:val="00360482"/>
    <w:rsid w:val="003626FF"/>
    <w:rsid w:val="0037505C"/>
    <w:rsid w:val="00383713"/>
    <w:rsid w:val="003901B3"/>
    <w:rsid w:val="0039602C"/>
    <w:rsid w:val="003A7B62"/>
    <w:rsid w:val="003B0BC8"/>
    <w:rsid w:val="003B6EA1"/>
    <w:rsid w:val="003C22A3"/>
    <w:rsid w:val="003C6165"/>
    <w:rsid w:val="003E369F"/>
    <w:rsid w:val="003F5884"/>
    <w:rsid w:val="003F6EB1"/>
    <w:rsid w:val="004172CE"/>
    <w:rsid w:val="004409CA"/>
    <w:rsid w:val="00443671"/>
    <w:rsid w:val="004577BF"/>
    <w:rsid w:val="00474A8E"/>
    <w:rsid w:val="00480070"/>
    <w:rsid w:val="004838A2"/>
    <w:rsid w:val="00486A0E"/>
    <w:rsid w:val="004A1D28"/>
    <w:rsid w:val="004A3308"/>
    <w:rsid w:val="004A4700"/>
    <w:rsid w:val="004B21A6"/>
    <w:rsid w:val="004C3A9A"/>
    <w:rsid w:val="004D5496"/>
    <w:rsid w:val="004D5798"/>
    <w:rsid w:val="004E68B5"/>
    <w:rsid w:val="004F6773"/>
    <w:rsid w:val="005033B7"/>
    <w:rsid w:val="0051092F"/>
    <w:rsid w:val="00516501"/>
    <w:rsid w:val="00522D98"/>
    <w:rsid w:val="00523A1F"/>
    <w:rsid w:val="0052552E"/>
    <w:rsid w:val="00543EFB"/>
    <w:rsid w:val="00544D49"/>
    <w:rsid w:val="00555373"/>
    <w:rsid w:val="00557D77"/>
    <w:rsid w:val="0057226E"/>
    <w:rsid w:val="00597607"/>
    <w:rsid w:val="005B6007"/>
    <w:rsid w:val="005B6FFA"/>
    <w:rsid w:val="005C00D1"/>
    <w:rsid w:val="005C2571"/>
    <w:rsid w:val="00604185"/>
    <w:rsid w:val="00610F3A"/>
    <w:rsid w:val="00614881"/>
    <w:rsid w:val="0061572E"/>
    <w:rsid w:val="006331AC"/>
    <w:rsid w:val="00634FEB"/>
    <w:rsid w:val="0064089B"/>
    <w:rsid w:val="00643034"/>
    <w:rsid w:val="006605D8"/>
    <w:rsid w:val="006612BA"/>
    <w:rsid w:val="006660A0"/>
    <w:rsid w:val="00666947"/>
    <w:rsid w:val="006731BA"/>
    <w:rsid w:val="00685F44"/>
    <w:rsid w:val="006914E4"/>
    <w:rsid w:val="00693C47"/>
    <w:rsid w:val="006975C7"/>
    <w:rsid w:val="006A2B15"/>
    <w:rsid w:val="006A6C38"/>
    <w:rsid w:val="006C1EB4"/>
    <w:rsid w:val="006D1D29"/>
    <w:rsid w:val="006F5DC0"/>
    <w:rsid w:val="0070191A"/>
    <w:rsid w:val="00733BED"/>
    <w:rsid w:val="00740606"/>
    <w:rsid w:val="00740C84"/>
    <w:rsid w:val="00747AE4"/>
    <w:rsid w:val="007545DF"/>
    <w:rsid w:val="0077733A"/>
    <w:rsid w:val="00781592"/>
    <w:rsid w:val="0079573B"/>
    <w:rsid w:val="007961AA"/>
    <w:rsid w:val="007A0219"/>
    <w:rsid w:val="007A4DD0"/>
    <w:rsid w:val="007D37AD"/>
    <w:rsid w:val="007D4221"/>
    <w:rsid w:val="007D60DA"/>
    <w:rsid w:val="007E095F"/>
    <w:rsid w:val="007F0C8F"/>
    <w:rsid w:val="007F5898"/>
    <w:rsid w:val="008230EF"/>
    <w:rsid w:val="00826711"/>
    <w:rsid w:val="008523D3"/>
    <w:rsid w:val="00857C94"/>
    <w:rsid w:val="008828FD"/>
    <w:rsid w:val="00885518"/>
    <w:rsid w:val="008900BB"/>
    <w:rsid w:val="00896AF6"/>
    <w:rsid w:val="00897017"/>
    <w:rsid w:val="008977A1"/>
    <w:rsid w:val="008A32CE"/>
    <w:rsid w:val="008A3588"/>
    <w:rsid w:val="008C7EBF"/>
    <w:rsid w:val="008D2535"/>
    <w:rsid w:val="008D375E"/>
    <w:rsid w:val="008D556C"/>
    <w:rsid w:val="008F2DC6"/>
    <w:rsid w:val="008F496E"/>
    <w:rsid w:val="0090436C"/>
    <w:rsid w:val="009071F2"/>
    <w:rsid w:val="00910B15"/>
    <w:rsid w:val="0091682B"/>
    <w:rsid w:val="00933B12"/>
    <w:rsid w:val="00937A89"/>
    <w:rsid w:val="009420F3"/>
    <w:rsid w:val="009441DB"/>
    <w:rsid w:val="0094431D"/>
    <w:rsid w:val="00945449"/>
    <w:rsid w:val="00970B0B"/>
    <w:rsid w:val="00984496"/>
    <w:rsid w:val="00990912"/>
    <w:rsid w:val="009A24FF"/>
    <w:rsid w:val="009B3439"/>
    <w:rsid w:val="009C433B"/>
    <w:rsid w:val="009C4C39"/>
    <w:rsid w:val="00A30EAB"/>
    <w:rsid w:val="00A43C35"/>
    <w:rsid w:val="00A5379A"/>
    <w:rsid w:val="00A8162D"/>
    <w:rsid w:val="00A8523B"/>
    <w:rsid w:val="00A8597C"/>
    <w:rsid w:val="00A94B0D"/>
    <w:rsid w:val="00A974D8"/>
    <w:rsid w:val="00AA19A4"/>
    <w:rsid w:val="00AA5395"/>
    <w:rsid w:val="00AB4E56"/>
    <w:rsid w:val="00AC0243"/>
    <w:rsid w:val="00AC4A20"/>
    <w:rsid w:val="00AC507D"/>
    <w:rsid w:val="00AD76E5"/>
    <w:rsid w:val="00B253BD"/>
    <w:rsid w:val="00B2618A"/>
    <w:rsid w:val="00B32F45"/>
    <w:rsid w:val="00B456B7"/>
    <w:rsid w:val="00B47728"/>
    <w:rsid w:val="00B50616"/>
    <w:rsid w:val="00B655C8"/>
    <w:rsid w:val="00B71379"/>
    <w:rsid w:val="00B72093"/>
    <w:rsid w:val="00B72115"/>
    <w:rsid w:val="00B73F6D"/>
    <w:rsid w:val="00BA0160"/>
    <w:rsid w:val="00BA2014"/>
    <w:rsid w:val="00BA41A2"/>
    <w:rsid w:val="00BB063F"/>
    <w:rsid w:val="00BB21D5"/>
    <w:rsid w:val="00BC30C6"/>
    <w:rsid w:val="00BD7D5A"/>
    <w:rsid w:val="00BF0714"/>
    <w:rsid w:val="00BF4430"/>
    <w:rsid w:val="00BF74F4"/>
    <w:rsid w:val="00C41AB0"/>
    <w:rsid w:val="00C545CE"/>
    <w:rsid w:val="00C7427F"/>
    <w:rsid w:val="00C81A41"/>
    <w:rsid w:val="00C86F8B"/>
    <w:rsid w:val="00C90054"/>
    <w:rsid w:val="00C95D91"/>
    <w:rsid w:val="00CB3ABB"/>
    <w:rsid w:val="00CC5FD6"/>
    <w:rsid w:val="00CF346F"/>
    <w:rsid w:val="00D048C9"/>
    <w:rsid w:val="00D31AB8"/>
    <w:rsid w:val="00D34FEC"/>
    <w:rsid w:val="00D36AA5"/>
    <w:rsid w:val="00D41165"/>
    <w:rsid w:val="00D4451F"/>
    <w:rsid w:val="00D46088"/>
    <w:rsid w:val="00D502BF"/>
    <w:rsid w:val="00D542B8"/>
    <w:rsid w:val="00D554B5"/>
    <w:rsid w:val="00D667BE"/>
    <w:rsid w:val="00D67775"/>
    <w:rsid w:val="00D809BE"/>
    <w:rsid w:val="00D85A2A"/>
    <w:rsid w:val="00D874D8"/>
    <w:rsid w:val="00D91019"/>
    <w:rsid w:val="00D92CAE"/>
    <w:rsid w:val="00DA1478"/>
    <w:rsid w:val="00DA35BD"/>
    <w:rsid w:val="00DB350F"/>
    <w:rsid w:val="00DB546B"/>
    <w:rsid w:val="00DC1D28"/>
    <w:rsid w:val="00DC343E"/>
    <w:rsid w:val="00DD7814"/>
    <w:rsid w:val="00DE6DF6"/>
    <w:rsid w:val="00DF199D"/>
    <w:rsid w:val="00DF24C4"/>
    <w:rsid w:val="00E130B3"/>
    <w:rsid w:val="00E27CB0"/>
    <w:rsid w:val="00E360E2"/>
    <w:rsid w:val="00E47C7A"/>
    <w:rsid w:val="00E525B7"/>
    <w:rsid w:val="00E628A9"/>
    <w:rsid w:val="00E82857"/>
    <w:rsid w:val="00E82C7F"/>
    <w:rsid w:val="00E843DC"/>
    <w:rsid w:val="00E932AF"/>
    <w:rsid w:val="00EB00E5"/>
    <w:rsid w:val="00EB0D23"/>
    <w:rsid w:val="00ED04B9"/>
    <w:rsid w:val="00ED30A8"/>
    <w:rsid w:val="00ED3D93"/>
    <w:rsid w:val="00ED5EB7"/>
    <w:rsid w:val="00EE11E6"/>
    <w:rsid w:val="00EE3A65"/>
    <w:rsid w:val="00EF0D29"/>
    <w:rsid w:val="00F25562"/>
    <w:rsid w:val="00F329E9"/>
    <w:rsid w:val="00F3327A"/>
    <w:rsid w:val="00F40C84"/>
    <w:rsid w:val="00F45BB3"/>
    <w:rsid w:val="00F54A6C"/>
    <w:rsid w:val="00F608D9"/>
    <w:rsid w:val="00F618BF"/>
    <w:rsid w:val="00F65F7F"/>
    <w:rsid w:val="00F71A1B"/>
    <w:rsid w:val="00F84A21"/>
    <w:rsid w:val="00F86ED5"/>
    <w:rsid w:val="00F93885"/>
    <w:rsid w:val="00FA513B"/>
    <w:rsid w:val="00FA52FF"/>
    <w:rsid w:val="00FB3811"/>
    <w:rsid w:val="00FC2AB4"/>
    <w:rsid w:val="00FC7E31"/>
    <w:rsid w:val="00FD0E79"/>
    <w:rsid w:val="00FD6E17"/>
    <w:rsid w:val="02ED7EC0"/>
    <w:rsid w:val="035E0DBD"/>
    <w:rsid w:val="0B1D6377"/>
    <w:rsid w:val="11AB0F12"/>
    <w:rsid w:val="12555A81"/>
    <w:rsid w:val="142F28B9"/>
    <w:rsid w:val="148D02A4"/>
    <w:rsid w:val="14A72759"/>
    <w:rsid w:val="16184DFC"/>
    <w:rsid w:val="191C6A1C"/>
    <w:rsid w:val="1DA76885"/>
    <w:rsid w:val="1F364180"/>
    <w:rsid w:val="1F553107"/>
    <w:rsid w:val="1FFF3E1A"/>
    <w:rsid w:val="20456CE2"/>
    <w:rsid w:val="21096C9F"/>
    <w:rsid w:val="216B7F37"/>
    <w:rsid w:val="2500362B"/>
    <w:rsid w:val="26250878"/>
    <w:rsid w:val="27D45EEB"/>
    <w:rsid w:val="293C2123"/>
    <w:rsid w:val="2A582A9D"/>
    <w:rsid w:val="2D0964C9"/>
    <w:rsid w:val="2F2B1C35"/>
    <w:rsid w:val="323E6B9D"/>
    <w:rsid w:val="327864CE"/>
    <w:rsid w:val="35CF32D1"/>
    <w:rsid w:val="37531CE0"/>
    <w:rsid w:val="388F1820"/>
    <w:rsid w:val="3CBB4293"/>
    <w:rsid w:val="3DBC034A"/>
    <w:rsid w:val="44344ADE"/>
    <w:rsid w:val="45F719AB"/>
    <w:rsid w:val="461977BE"/>
    <w:rsid w:val="477F73A4"/>
    <w:rsid w:val="481334F1"/>
    <w:rsid w:val="48167282"/>
    <w:rsid w:val="498E0956"/>
    <w:rsid w:val="4AA87A7F"/>
    <w:rsid w:val="4E8332E0"/>
    <w:rsid w:val="508928B4"/>
    <w:rsid w:val="532C5F67"/>
    <w:rsid w:val="56780677"/>
    <w:rsid w:val="5B067582"/>
    <w:rsid w:val="5B1433B1"/>
    <w:rsid w:val="5B6B4F9B"/>
    <w:rsid w:val="5CFD02A8"/>
    <w:rsid w:val="5DB14C92"/>
    <w:rsid w:val="5E351FC6"/>
    <w:rsid w:val="5EDB5F93"/>
    <w:rsid w:val="600B6B7E"/>
    <w:rsid w:val="60EF253B"/>
    <w:rsid w:val="6384309D"/>
    <w:rsid w:val="66785BD2"/>
    <w:rsid w:val="68776D2D"/>
    <w:rsid w:val="690600B1"/>
    <w:rsid w:val="711B0CE9"/>
    <w:rsid w:val="733A1083"/>
    <w:rsid w:val="7396264F"/>
    <w:rsid w:val="77707769"/>
    <w:rsid w:val="78306421"/>
    <w:rsid w:val="790D027A"/>
    <w:rsid w:val="7D450D50"/>
    <w:rsid w:val="7D952A91"/>
    <w:rsid w:val="7F4D1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560" w:lineRule="exact"/>
      <w:ind w:firstLine="200" w:firstLineChars="200"/>
    </w:pPr>
    <w:rPr>
      <w:rFonts w:eastAsia="仿宋_GB2312"/>
      <w:sz w:val="32"/>
    </w:rPr>
  </w:style>
  <w:style w:type="paragraph" w:styleId="3">
    <w:name w:val="Balloon Text"/>
    <w:basedOn w:val="1"/>
    <w:link w:val="11"/>
    <w:qFormat/>
    <w:uiPriority w:val="0"/>
    <w:rPr>
      <w:sz w:val="18"/>
      <w:szCs w:val="18"/>
    </w:rPr>
  </w:style>
  <w:style w:type="paragraph" w:styleId="4">
    <w:name w:val="footer"/>
    <w:basedOn w:val="1"/>
    <w:link w:val="17"/>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index heading"/>
    <w:basedOn w:val="1"/>
    <w:next w:val="7"/>
    <w:qFormat/>
    <w:uiPriority w:val="99"/>
    <w:rPr>
      <w:rFonts w:ascii="Arial" w:hAnsi="Arial"/>
      <w:b/>
    </w:rPr>
  </w:style>
  <w:style w:type="paragraph" w:styleId="7">
    <w:name w:val="index 1"/>
    <w:basedOn w:val="1"/>
    <w:next w:val="1"/>
    <w:qFormat/>
    <w:uiPriority w:val="0"/>
  </w:style>
  <w:style w:type="paragraph" w:styleId="8">
    <w:name w:val="HTML Preformatted"/>
    <w:basedOn w:val="1"/>
    <w:link w:val="14"/>
    <w:qFormat/>
    <w:uiPriority w:val="0"/>
    <w:rPr>
      <w:rFonts w:ascii="Courier New" w:hAnsi="Courier New" w:cs="Courier New"/>
      <w:sz w:val="20"/>
      <w:szCs w:val="20"/>
    </w:rPr>
  </w:style>
  <w:style w:type="character" w:customStyle="1" w:styleId="11">
    <w:name w:val="批注框文本 字符"/>
    <w:basedOn w:val="10"/>
    <w:link w:val="3"/>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4"/>
      <w:lang w:val="en-US" w:eastAsia="zh-CN" w:bidi="ar-SA"/>
    </w:rPr>
  </w:style>
  <w:style w:type="paragraph" w:customStyle="1" w:styleId="13">
    <w:name w:val="修订2"/>
    <w:hidden/>
    <w:unhideWhenUsed/>
    <w:qFormat/>
    <w:uiPriority w:val="99"/>
    <w:rPr>
      <w:rFonts w:ascii="Calibri" w:hAnsi="Calibri" w:eastAsia="宋体" w:cs="Times New Roman"/>
      <w:kern w:val="2"/>
      <w:sz w:val="21"/>
      <w:szCs w:val="24"/>
      <w:lang w:val="en-US" w:eastAsia="zh-CN" w:bidi="ar-SA"/>
    </w:rPr>
  </w:style>
  <w:style w:type="character" w:customStyle="1" w:styleId="14">
    <w:name w:val="HTML 预设格式 字符"/>
    <w:basedOn w:val="10"/>
    <w:link w:val="8"/>
    <w:qFormat/>
    <w:uiPriority w:val="0"/>
    <w:rPr>
      <w:rFonts w:ascii="Courier New" w:hAnsi="Courier New" w:cs="Courier New"/>
      <w:kern w:val="2"/>
    </w:rPr>
  </w:style>
  <w:style w:type="paragraph" w:customStyle="1" w:styleId="15">
    <w:name w:val="修订3"/>
    <w:hidden/>
    <w:unhideWhenUsed/>
    <w:qFormat/>
    <w:uiPriority w:val="99"/>
    <w:rPr>
      <w:rFonts w:ascii="Calibri" w:hAnsi="Calibri" w:eastAsia="宋体" w:cs="Times New Roman"/>
      <w:kern w:val="2"/>
      <w:sz w:val="21"/>
      <w:szCs w:val="24"/>
      <w:lang w:val="en-US" w:eastAsia="zh-CN" w:bidi="ar-SA"/>
    </w:rPr>
  </w:style>
  <w:style w:type="paragraph" w:customStyle="1" w:styleId="16">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7">
    <w:name w:val="页脚 字符"/>
    <w:basedOn w:val="10"/>
    <w:link w:val="4"/>
    <w:qFormat/>
    <w:uiPriority w:val="99"/>
    <w:rPr>
      <w:rFonts w:ascii="Calibri" w:hAnsi="Calibr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19</Pages>
  <Words>2266</Words>
  <Characters>6781</Characters>
  <Lines>120</Lines>
  <Paragraphs>33</Paragraphs>
  <TotalTime>18</TotalTime>
  <ScaleCrop>false</ScaleCrop>
  <LinksUpToDate>false</LinksUpToDate>
  <CharactersWithSpaces>7533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2025-03-28T15:41:00Z</dcterms:created>
  <dc:creator>yangl</dc:creator>
  <cp:lastModifiedBy>Van Coster</cp:lastModifiedBy>
  <cp:lastPrinted>2025-03-30T06:30:00Z</cp:lastPrinted>
  <dcterms:modified xsi:type="dcterms:W3CDTF">2025-03-31T06:10:01Z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eyJoZGlkIjoiOWIwNGM2NjEzZDBmNmFkNzNlMmY2YmUwYWMzMTE4NTUiLCJ1c2VySWQiOiI0MDAzMDA3NzcifQ==</vt:lpwstr>
  </property>
  <property fmtid="{D5CDD505-2E9C-101B-9397-08002B2CF9AE}" pid="4" name="ICV">
    <vt:lpwstr>3E072BF2AA9E4509935AA6F487EBE99B_13</vt:lpwstr>
  </property>
</Properties>
</file>