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8CC9">
      <w:pPr>
        <w:ind w:left="2240" w:hanging="2240" w:hangingChars="800"/>
        <w:rPr>
          <w:rFonts w:ascii="Times New Roman" w:hAnsi="Times New Roman" w:eastAsia="楷体_GB2312" w:cs="Times New Roman"/>
          <w:color w:val="000000" w:themeColor="text1"/>
          <w:sz w:val="28"/>
          <w:szCs w:val="28"/>
          <w14:textFill>
            <w14:solidFill>
              <w14:schemeClr w14:val="tx1"/>
            </w14:solidFill>
          </w14:textFill>
        </w:rPr>
      </w:pPr>
      <w:bookmarkStart w:id="0" w:name="_GoBack"/>
      <w:bookmarkEnd w:id="0"/>
      <w:r>
        <w:rPr>
          <w:rFonts w:hint="eastAsia" w:ascii="Times New Roman" w:hAnsi="Times New Roman" w:eastAsia="楷体_GB2312" w:cs="Times New Roman"/>
          <w:color w:val="000000" w:themeColor="text1"/>
          <w:sz w:val="28"/>
          <w:szCs w:val="28"/>
          <w14:textFill>
            <w14:solidFill>
              <w14:schemeClr w14:val="tx1"/>
            </w14:solidFill>
          </w14:textFill>
        </w:rPr>
        <w:t>探索</w:t>
      </w:r>
      <w:r>
        <w:rPr>
          <w:rFonts w:ascii="Times New Roman" w:hAnsi="Times New Roman" w:eastAsia="楷体_GB2312" w:cs="Times New Roman"/>
          <w:color w:val="000000" w:themeColor="text1"/>
          <w:sz w:val="28"/>
          <w:szCs w:val="28"/>
          <w14:textFill>
            <w14:solidFill>
              <w14:schemeClr w14:val="tx1"/>
            </w14:solidFill>
          </w14:textFill>
        </w:rPr>
        <w:t>金融赋能新质生产力国际化</w:t>
      </w:r>
      <w:r>
        <w:rPr>
          <w:rFonts w:hint="eastAsia" w:ascii="Times New Roman" w:hAnsi="Times New Roman" w:eastAsia="楷体_GB2312" w:cs="Times New Roman"/>
          <w:color w:val="000000" w:themeColor="text1"/>
          <w:sz w:val="28"/>
          <w:szCs w:val="28"/>
          <w14:textFill>
            <w14:solidFill>
              <w14:schemeClr w14:val="tx1"/>
            </w14:solidFill>
          </w14:textFill>
        </w:rPr>
        <w:t>的</w:t>
      </w:r>
      <w:r>
        <w:rPr>
          <w:rFonts w:ascii="Times New Roman" w:hAnsi="Times New Roman" w:eastAsia="楷体_GB2312" w:cs="Times New Roman"/>
          <w:color w:val="000000" w:themeColor="text1"/>
          <w:sz w:val="28"/>
          <w:szCs w:val="28"/>
          <w14:textFill>
            <w14:solidFill>
              <w14:schemeClr w14:val="tx1"/>
            </w14:solidFill>
          </w14:textFill>
        </w:rPr>
        <w:t>新前沿</w:t>
      </w:r>
      <w:r>
        <w:rPr>
          <w:rFonts w:hint="eastAsia" w:ascii="Times New Roman" w:hAnsi="Times New Roman" w:eastAsia="楷体_GB2312" w:cs="Times New Roman"/>
          <w:color w:val="000000" w:themeColor="text1"/>
          <w:sz w:val="28"/>
          <w:szCs w:val="28"/>
          <w14:textFill>
            <w14:solidFill>
              <w14:schemeClr w14:val="tx1"/>
            </w14:solidFill>
          </w14:textFill>
        </w:rPr>
        <w:t>丨中金公司成功举办</w:t>
      </w:r>
      <w:r>
        <w:rPr>
          <w:rFonts w:ascii="Times New Roman" w:hAnsi="Times New Roman" w:eastAsia="楷体_GB2312" w:cs="Times New Roman"/>
          <w:color w:val="000000" w:themeColor="text1"/>
          <w:sz w:val="28"/>
          <w:szCs w:val="28"/>
          <w14:textFill>
            <w14:solidFill>
              <w14:schemeClr w14:val="tx1"/>
            </w14:solidFill>
          </w14:textFill>
        </w:rPr>
        <w:t>2025中关村</w:t>
      </w:r>
      <w:r>
        <w:rPr>
          <w:rFonts w:hint="eastAsia" w:ascii="Times New Roman" w:hAnsi="Times New Roman" w:eastAsia="楷体_GB2312" w:cs="Times New Roman"/>
          <w:color w:val="000000" w:themeColor="text1"/>
          <w:sz w:val="28"/>
          <w:szCs w:val="28"/>
          <w14:textFill>
            <w14:solidFill>
              <w14:schemeClr w14:val="tx1"/>
            </w14:solidFill>
          </w14:textFill>
        </w:rPr>
        <w:t>论坛</w:t>
      </w:r>
      <w:r>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t>年会</w:t>
      </w:r>
      <w:r>
        <w:rPr>
          <w:rFonts w:ascii="Times New Roman" w:hAnsi="Times New Roman" w:eastAsia="楷体_GB2312" w:cs="Times New Roman"/>
          <w:color w:val="000000" w:themeColor="text1"/>
          <w:sz w:val="28"/>
          <w:szCs w:val="28"/>
          <w14:textFill>
            <w14:solidFill>
              <w14:schemeClr w14:val="tx1"/>
            </w14:solidFill>
          </w14:textFill>
        </w:rPr>
        <w:t>双碳战略与绿色金融</w:t>
      </w:r>
      <w:r>
        <w:rPr>
          <w:rFonts w:hint="eastAsia" w:ascii="Times New Roman" w:hAnsi="Times New Roman" w:eastAsia="楷体_GB2312" w:cs="Times New Roman"/>
          <w:color w:val="000000" w:themeColor="text1"/>
          <w:sz w:val="28"/>
          <w:szCs w:val="28"/>
          <w14:textFill>
            <w14:solidFill>
              <w14:schemeClr w14:val="tx1"/>
            </w14:solidFill>
          </w14:textFill>
        </w:rPr>
        <w:t>平行</w:t>
      </w:r>
      <w:r>
        <w:rPr>
          <w:rFonts w:ascii="Times New Roman" w:hAnsi="Times New Roman" w:eastAsia="楷体_GB2312" w:cs="Times New Roman"/>
          <w:color w:val="000000" w:themeColor="text1"/>
          <w:sz w:val="28"/>
          <w:szCs w:val="28"/>
          <w14:textFill>
            <w14:solidFill>
              <w14:schemeClr w14:val="tx1"/>
            </w14:solidFill>
          </w14:textFill>
        </w:rPr>
        <w:t>论坛</w:t>
      </w:r>
    </w:p>
    <w:p w14:paraId="44FB72C0">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lang w:eastAsia="zh"/>
          <w14:textFill>
            <w14:solidFill>
              <w14:schemeClr w14:val="tx1"/>
            </w14:solidFill>
          </w14:textFill>
        </w:rPr>
      </w:pPr>
      <w:r>
        <w:rPr>
          <w:rFonts w:ascii="Times New Roman" w:hAnsi="Times New Roman" w:eastAsia="楷体_GB2312" w:cs="Times New Roman"/>
          <w:color w:val="000000" w:themeColor="text1"/>
          <w:sz w:val="24"/>
          <w:szCs w:val="24"/>
          <w14:textFill>
            <w14:solidFill>
              <w14:schemeClr w14:val="tx1"/>
            </w14:solidFill>
          </w14:textFill>
        </w:rPr>
        <w:t>3</w:t>
      </w:r>
      <w:r>
        <w:rPr>
          <w:rFonts w:hint="eastAsia" w:ascii="Times New Roman" w:hAnsi="Times New Roman" w:eastAsia="楷体_GB2312" w:cs="Times New Roman"/>
          <w:color w:val="000000" w:themeColor="text1"/>
          <w:sz w:val="24"/>
          <w:szCs w:val="24"/>
          <w14:textFill>
            <w14:solidFill>
              <w14:schemeClr w14:val="tx1"/>
            </w14:solidFill>
          </w14:textFill>
        </w:rPr>
        <w:t>月</w:t>
      </w:r>
      <w:r>
        <w:rPr>
          <w:rFonts w:ascii="Times New Roman" w:hAnsi="Times New Roman" w:eastAsia="楷体_GB2312" w:cs="Times New Roman"/>
          <w:color w:val="000000" w:themeColor="text1"/>
          <w:sz w:val="24"/>
          <w:szCs w:val="24"/>
          <w14:textFill>
            <w14:solidFill>
              <w14:schemeClr w14:val="tx1"/>
            </w14:solidFill>
          </w14:textFill>
        </w:rPr>
        <w:t>27</w:t>
      </w:r>
      <w:r>
        <w:rPr>
          <w:rFonts w:hint="eastAsia" w:ascii="Times New Roman" w:hAnsi="Times New Roman" w:eastAsia="楷体_GB2312" w:cs="Times New Roman"/>
          <w:color w:val="000000" w:themeColor="text1"/>
          <w:sz w:val="24"/>
          <w:szCs w:val="24"/>
          <w14:textFill>
            <w14:solidFill>
              <w14:schemeClr w14:val="tx1"/>
            </w14:solidFill>
          </w14:textFill>
        </w:rPr>
        <w:t>日，</w:t>
      </w:r>
      <w:r>
        <w:rPr>
          <w:rFonts w:ascii="Times New Roman" w:hAnsi="Times New Roman" w:eastAsia="楷体_GB2312" w:cs="Times New Roman"/>
          <w:color w:val="000000" w:themeColor="text1"/>
          <w:sz w:val="24"/>
          <w:szCs w:val="24"/>
          <w14:textFill>
            <w14:solidFill>
              <w14:schemeClr w14:val="tx1"/>
            </w14:solidFill>
          </w14:textFill>
        </w:rPr>
        <w:t>2025中关村论坛年会</w:t>
      </w:r>
      <w:r>
        <w:rPr>
          <w:rFonts w:hint="eastAsia" w:ascii="Times New Roman" w:hAnsi="Times New Roman" w:eastAsia="楷体_GB2312" w:cs="Times New Roman"/>
          <w:color w:val="000000" w:themeColor="text1"/>
          <w:sz w:val="24"/>
          <w:szCs w:val="24"/>
          <w14:textFill>
            <w14:solidFill>
              <w14:schemeClr w14:val="tx1"/>
            </w14:solidFill>
          </w14:textFill>
        </w:rPr>
        <w:t>在京</w:t>
      </w:r>
      <w:r>
        <w:rPr>
          <w:rFonts w:ascii="Times New Roman" w:hAnsi="Times New Roman" w:eastAsia="楷体_GB2312" w:cs="Times New Roman"/>
          <w:color w:val="000000" w:themeColor="text1"/>
          <w:sz w:val="24"/>
          <w:szCs w:val="24"/>
          <w14:textFill>
            <w14:solidFill>
              <w14:schemeClr w14:val="tx1"/>
            </w14:solidFill>
          </w14:textFill>
        </w:rPr>
        <w:t>开幕</w:t>
      </w:r>
      <w:r>
        <w:rPr>
          <w:rFonts w:hint="eastAsia" w:ascii="Times New Roman" w:hAnsi="Times New Roman" w:eastAsia="楷体_GB2312" w:cs="Times New Roman"/>
          <w:color w:val="000000" w:themeColor="text1"/>
          <w:sz w:val="24"/>
          <w:szCs w:val="24"/>
          <w14:textFill>
            <w14:solidFill>
              <w14:schemeClr w14:val="tx1"/>
            </w14:solidFill>
          </w14:textFill>
        </w:rPr>
        <w:t>，</w:t>
      </w:r>
      <w:r>
        <w:rPr>
          <w:rFonts w:ascii="Times New Roman" w:hAnsi="Times New Roman" w:eastAsia="楷体_GB2312" w:cs="Times New Roman"/>
          <w:color w:val="000000" w:themeColor="text1"/>
          <w:sz w:val="24"/>
          <w:szCs w:val="24"/>
          <w14:textFill>
            <w14:solidFill>
              <w14:schemeClr w14:val="tx1"/>
            </w14:solidFill>
          </w14:textFill>
        </w:rPr>
        <w:t>本届论坛年会主题为“新质生产力与全球科技合作”</w:t>
      </w:r>
      <w:r>
        <w:rPr>
          <w:rFonts w:hint="eastAsia" w:ascii="Times New Roman" w:hAnsi="Times New Roman" w:eastAsia="楷体_GB2312" w:cs="Times New Roman"/>
          <w:color w:val="000000" w:themeColor="text1"/>
          <w:sz w:val="24"/>
          <w:szCs w:val="24"/>
          <w14:textFill>
            <w14:solidFill>
              <w14:schemeClr w14:val="tx1"/>
            </w14:solidFill>
          </w14:textFill>
        </w:rPr>
        <w:t>。</w:t>
      </w:r>
      <w:r>
        <w:rPr>
          <w:rFonts w:hint="eastAsia" w:ascii="Times New Roman" w:hAnsi="Times New Roman" w:eastAsia="楷体_GB2312"/>
          <w:color w:val="000000" w:themeColor="text1"/>
          <w:sz w:val="24"/>
          <w:szCs w:val="24"/>
          <w14:textFill>
            <w14:solidFill>
              <w14:schemeClr w14:val="tx1"/>
            </w14:solidFill>
          </w14:textFill>
        </w:rPr>
        <w:t>中国国际金融股份有限公司</w:t>
      </w:r>
      <w:r>
        <w:rPr>
          <w:rFonts w:hint="eastAsia" w:ascii="Times New Roman" w:hAnsi="Times New Roman" w:eastAsia="楷体_GB2312"/>
          <w:color w:val="000000" w:themeColor="text1"/>
          <w:sz w:val="24"/>
          <w:szCs w:val="24"/>
          <w:lang w:eastAsia="zh-CN"/>
          <w14:textFill>
            <w14:solidFill>
              <w14:schemeClr w14:val="tx1"/>
            </w14:solidFill>
          </w14:textFill>
        </w:rPr>
        <w:t>（</w:t>
      </w:r>
      <w:r>
        <w:rPr>
          <w:rFonts w:hint="eastAsia" w:ascii="Times New Roman" w:hAnsi="Times New Roman" w:eastAsia="楷体_GB2312"/>
          <w:color w:val="000000" w:themeColor="text1"/>
          <w:sz w:val="24"/>
          <w:szCs w:val="24"/>
          <w:lang w:val="en-US" w:eastAsia="zh-CN"/>
          <w14:textFill>
            <w14:solidFill>
              <w14:schemeClr w14:val="tx1"/>
            </w14:solidFill>
          </w14:textFill>
        </w:rPr>
        <w:t>以下简称“中金公司”）</w:t>
      </w:r>
      <w:r>
        <w:rPr>
          <w:rFonts w:hint="eastAsia" w:ascii="Times New Roman" w:hAnsi="Times New Roman" w:eastAsia="楷体_GB2312" w:cs="Times New Roman"/>
          <w:color w:val="000000" w:themeColor="text1"/>
          <w:sz w:val="24"/>
          <w:szCs w:val="24"/>
          <w14:textFill>
            <w14:solidFill>
              <w14:schemeClr w14:val="tx1"/>
            </w14:solidFill>
          </w14:textFill>
        </w:rPr>
        <w:t>第四年主办“</w:t>
      </w:r>
      <w:r>
        <w:rPr>
          <w:rFonts w:ascii="Times New Roman" w:hAnsi="Times New Roman" w:eastAsia="楷体_GB2312" w:cs="Times New Roman"/>
          <w:color w:val="000000" w:themeColor="text1"/>
          <w:sz w:val="24"/>
          <w:szCs w:val="24"/>
          <w14:textFill>
            <w14:solidFill>
              <w14:schemeClr w14:val="tx1"/>
            </w14:solidFill>
          </w14:textFill>
        </w:rPr>
        <w:t>双碳战略与绿色金融论坛</w:t>
      </w:r>
      <w:r>
        <w:rPr>
          <w:rFonts w:hint="eastAsia" w:ascii="Times New Roman" w:hAnsi="Times New Roman" w:eastAsia="楷体_GB2312" w:cs="Times New Roman"/>
          <w:color w:val="000000" w:themeColor="text1"/>
          <w:sz w:val="24"/>
          <w:szCs w:val="24"/>
          <w14:textFill>
            <w14:solidFill>
              <w14:schemeClr w14:val="tx1"/>
            </w14:solidFill>
          </w14:textFill>
        </w:rPr>
        <w:t>”</w:t>
      </w:r>
      <w:r>
        <w:rPr>
          <w:rFonts w:hint="eastAsia" w:ascii="Times New Roman" w:hAnsi="Times New Roman" w:eastAsia="楷体_GB2312" w:cs="Times New Roman"/>
          <w:color w:val="000000" w:themeColor="text1"/>
          <w:sz w:val="24"/>
          <w:szCs w:val="24"/>
          <w:lang w:eastAsia="zh"/>
          <w14:textFill>
            <w14:solidFill>
              <w14:schemeClr w14:val="tx1"/>
            </w14:solidFill>
          </w14:textFill>
        </w:rPr>
        <w:t>，本次会议</w:t>
      </w:r>
      <w:r>
        <w:rPr>
          <w:rFonts w:hint="eastAsia" w:ascii="Times New Roman" w:hAnsi="Times New Roman" w:eastAsia="楷体_GB2312" w:cs="Times New Roman"/>
          <w:color w:val="000000" w:themeColor="text1"/>
          <w:sz w:val="24"/>
          <w:szCs w:val="24"/>
          <w14:textFill>
            <w14:solidFill>
              <w14:schemeClr w14:val="tx1"/>
            </w14:solidFill>
          </w14:textFill>
        </w:rPr>
        <w:t>聚焦绿色技术出海这一议题，</w:t>
      </w:r>
      <w:r>
        <w:rPr>
          <w:rFonts w:ascii="Times New Roman" w:hAnsi="Times New Roman" w:eastAsia="楷体_GB2312" w:cs="Times New Roman"/>
          <w:color w:val="000000" w:themeColor="text1"/>
          <w:sz w:val="24"/>
          <w:szCs w:val="24"/>
          <w14:textFill>
            <w14:solidFill>
              <w14:schemeClr w14:val="tx1"/>
            </w14:solidFill>
          </w14:textFill>
        </w:rPr>
        <w:t>政府机构、国际组织、知名企业和投资机构代表</w:t>
      </w:r>
      <w:r>
        <w:rPr>
          <w:rFonts w:hint="eastAsia" w:ascii="Times New Roman" w:hAnsi="Times New Roman" w:eastAsia="楷体_GB2312" w:cs="Times New Roman"/>
          <w:color w:val="000000" w:themeColor="text1"/>
          <w:sz w:val="24"/>
          <w:szCs w:val="24"/>
          <w14:textFill>
            <w14:solidFill>
              <w14:schemeClr w14:val="tx1"/>
            </w14:solidFill>
          </w14:textFill>
        </w:rPr>
        <w:t>共聚一堂，共同探讨绿色金融如何赋能新质生产力的国际化发展，为推动全球绿色发展贡献智慧</w:t>
      </w:r>
      <w:r>
        <w:rPr>
          <w:rFonts w:hint="eastAsia" w:ascii="Times New Roman" w:hAnsi="Times New Roman" w:eastAsia="楷体_GB2312" w:cs="Times New Roman"/>
          <w:color w:val="000000" w:themeColor="text1"/>
          <w:sz w:val="24"/>
          <w:szCs w:val="24"/>
          <w:lang w:eastAsia="zh"/>
          <w14:textFill>
            <w14:solidFill>
              <w14:schemeClr w14:val="tx1"/>
            </w14:solidFill>
          </w14:textFill>
        </w:rPr>
        <w:t>和</w:t>
      </w:r>
      <w:r>
        <w:rPr>
          <w:rFonts w:hint="eastAsia" w:ascii="Times New Roman" w:hAnsi="Times New Roman" w:eastAsia="楷体_GB2312" w:cs="Times New Roman"/>
          <w:color w:val="000000" w:themeColor="text1"/>
          <w:sz w:val="24"/>
          <w:szCs w:val="24"/>
          <w14:textFill>
            <w14:solidFill>
              <w14:schemeClr w14:val="tx1"/>
            </w14:solidFill>
          </w14:textFill>
        </w:rPr>
        <w:t>力量。</w:t>
      </w:r>
    </w:p>
    <w:p w14:paraId="5F2DA01E">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color w:val="000000" w:themeColor="text1"/>
          <w:sz w:val="24"/>
          <w:szCs w:val="24"/>
          <w14:textFill>
            <w14:solidFill>
              <w14:schemeClr w14:val="tx1"/>
            </w14:solidFill>
          </w14:textFill>
        </w:rPr>
        <w:t>2020年习近平总书记提出“双碳”目标，2023年中央金融工作会议更是将五篇大文章中</w:t>
      </w:r>
      <w:r>
        <w:rPr>
          <w:rFonts w:hint="eastAsia" w:ascii="Times New Roman" w:hAnsi="Times New Roman" w:eastAsia="楷体_GB2312" w:cs="Times New Roman"/>
          <w:color w:val="000000" w:themeColor="text1"/>
          <w:sz w:val="24"/>
          <w:szCs w:val="24"/>
          <w:lang w:eastAsia="zh"/>
          <w14:textFill>
            <w14:solidFill>
              <w14:schemeClr w14:val="tx1"/>
            </w14:solidFill>
          </w14:textFill>
        </w:rPr>
        <w:t>的</w:t>
      </w:r>
      <w:r>
        <w:rPr>
          <w:rFonts w:hint="eastAsia" w:ascii="Times New Roman" w:hAnsi="Times New Roman" w:eastAsia="楷体_GB2312" w:cs="Times New Roman"/>
          <w:color w:val="000000" w:themeColor="text1"/>
          <w:sz w:val="24"/>
          <w:szCs w:val="24"/>
          <w14:textFill>
            <w14:solidFill>
              <w14:schemeClr w14:val="tx1"/>
            </w14:solidFill>
          </w14:textFill>
        </w:rPr>
        <w:t>绿色金融提到了重要的高度</w:t>
      </w:r>
      <w:r>
        <w:rPr>
          <w:rFonts w:hint="eastAsia" w:ascii="Times New Roman" w:hAnsi="Times New Roman" w:eastAsia="楷体_GB2312" w:cs="Times New Roman"/>
          <w:color w:val="000000" w:themeColor="text1"/>
          <w:sz w:val="24"/>
          <w:szCs w:val="24"/>
          <w:lang w:eastAsia="zh"/>
          <w14:textFill>
            <w14:solidFill>
              <w14:schemeClr w14:val="tx1"/>
            </w14:solidFill>
          </w14:textFill>
        </w:rPr>
        <w:t>。</w:t>
      </w:r>
      <w:r>
        <w:rPr>
          <w:rFonts w:hint="eastAsia" w:ascii="Times New Roman" w:hAnsi="Times New Roman" w:eastAsia="楷体_GB2312" w:cs="Times New Roman"/>
          <w:color w:val="000000" w:themeColor="text1"/>
          <w:sz w:val="24"/>
          <w:szCs w:val="24"/>
          <w14:textFill>
            <w14:solidFill>
              <w14:schemeClr w14:val="tx1"/>
            </w14:solidFill>
          </w14:textFill>
        </w:rPr>
        <w:t>在习近平生态文明思想的指引下，“双碳”战略全面融入国家发展大局，绿色金融体系也在持续探索中日趋成熟。</w:t>
      </w:r>
      <w:r>
        <w:rPr>
          <w:rFonts w:hint="eastAsia" w:ascii="Times New Roman" w:hAnsi="Times New Roman" w:eastAsia="楷体_GB2312" w:cs="Times New Roman"/>
          <w:color w:val="000000" w:themeColor="text1"/>
          <w:sz w:val="24"/>
          <w:szCs w:val="24"/>
          <w:lang w:eastAsia="zh"/>
          <w14:textFill>
            <w14:solidFill>
              <w14:schemeClr w14:val="tx1"/>
            </w14:solidFill>
          </w14:textFill>
        </w:rPr>
        <w:t>与此同时，全球绿色转型的加速也给我们带来了新的机遇和挑战，促使我国</w:t>
      </w:r>
      <w:r>
        <w:rPr>
          <w:rFonts w:hint="eastAsia" w:ascii="Times New Roman" w:hAnsi="Times New Roman" w:eastAsia="楷体_GB2312" w:cs="Times New Roman"/>
          <w:color w:val="000000" w:themeColor="text1"/>
          <w:sz w:val="24"/>
          <w:szCs w:val="24"/>
          <w14:textFill>
            <w14:solidFill>
              <w14:schemeClr w14:val="tx1"/>
            </w14:solidFill>
          </w14:textFill>
        </w:rPr>
        <w:t>金融领域创新供给</w:t>
      </w:r>
      <w:r>
        <w:rPr>
          <w:rFonts w:hint="eastAsia" w:ascii="Times New Roman" w:hAnsi="Times New Roman" w:eastAsia="楷体_GB2312" w:cs="Times New Roman"/>
          <w:color w:val="000000" w:themeColor="text1"/>
          <w:sz w:val="24"/>
          <w:szCs w:val="24"/>
          <w:lang w:eastAsia="zh"/>
          <w14:textFill>
            <w14:solidFill>
              <w14:schemeClr w14:val="tx1"/>
            </w14:solidFill>
          </w14:textFill>
        </w:rPr>
        <w:t>达到更高的要求。</w:t>
      </w:r>
      <w:r>
        <w:rPr>
          <w:rFonts w:hint="eastAsia" w:ascii="Times New Roman" w:hAnsi="Times New Roman" w:eastAsia="楷体_GB2312" w:cs="Times New Roman"/>
          <w:color w:val="000000" w:themeColor="text1"/>
          <w:sz w:val="24"/>
          <w:szCs w:val="24"/>
          <w14:textFill>
            <w14:solidFill>
              <w14:schemeClr w14:val="tx1"/>
            </w14:solidFill>
          </w14:textFill>
        </w:rPr>
        <w:t>中金公司</w:t>
      </w:r>
      <w:r>
        <w:rPr>
          <w:rFonts w:hint="eastAsia" w:ascii="Times New Roman" w:hAnsi="Times New Roman" w:eastAsia="楷体_GB2312" w:cs="Times New Roman"/>
          <w:color w:val="000000" w:themeColor="text1"/>
          <w:sz w:val="24"/>
          <w:szCs w:val="24"/>
          <w:lang w:eastAsia="zh"/>
          <w14:textFill>
            <w14:solidFill>
              <w14:schemeClr w14:val="tx1"/>
            </w14:solidFill>
          </w14:textFill>
        </w:rPr>
        <w:t>始终坚持服务国家战略，大力支持绿色行业企业融资，积极参与绿色行业并购重组，深化绿色金融产品创新，支持企业低碳转型和绿色发展、助力</w:t>
      </w:r>
      <w:r>
        <w:rPr>
          <w:rFonts w:hint="eastAsia" w:ascii="Times New Roman" w:hAnsi="Times New Roman" w:eastAsia="楷体_GB2312" w:cs="Times New Roman"/>
          <w:color w:val="000000" w:themeColor="text1"/>
          <w:sz w:val="24"/>
          <w:szCs w:val="24"/>
          <w14:textFill>
            <w14:solidFill>
              <w14:schemeClr w14:val="tx1"/>
            </w14:solidFill>
          </w14:textFill>
        </w:rPr>
        <w:t>绿色技术“扬帆出海”。</w:t>
      </w:r>
    </w:p>
    <w:p w14:paraId="4291013E">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ascii="Times New Roman" w:hAnsi="Times New Roman" w:eastAsia="楷体_GB2312" w:cs="Times New Roman"/>
          <w:color w:val="000000" w:themeColor="text1"/>
          <w:sz w:val="24"/>
          <w:szCs w:val="24"/>
          <w14:textFill>
            <w14:solidFill>
              <w14:schemeClr w14:val="tx1"/>
            </w14:solidFill>
          </w14:textFill>
        </w:rPr>
        <w:t>北京市</w:t>
      </w:r>
      <w:r>
        <w:rPr>
          <w:rFonts w:hint="eastAsia" w:ascii="Times New Roman" w:hAnsi="Times New Roman" w:eastAsia="楷体_GB2312" w:cs="Times New Roman"/>
          <w:color w:val="000000" w:themeColor="text1"/>
          <w:sz w:val="24"/>
          <w:szCs w:val="24"/>
          <w:lang w:val="en-US" w:eastAsia="zh-CN"/>
          <w14:textFill>
            <w14:solidFill>
              <w14:schemeClr w14:val="tx1"/>
            </w14:solidFill>
          </w14:textFill>
        </w:rPr>
        <w:t>人民政府</w:t>
      </w:r>
      <w:r>
        <w:rPr>
          <w:rFonts w:ascii="Times New Roman" w:hAnsi="Times New Roman" w:eastAsia="楷体_GB2312" w:cs="Times New Roman"/>
          <w:color w:val="000000" w:themeColor="text1"/>
          <w:sz w:val="24"/>
          <w:szCs w:val="24"/>
          <w14:textFill>
            <w14:solidFill>
              <w14:schemeClr w14:val="tx1"/>
            </w14:solidFill>
          </w14:textFill>
        </w:rPr>
        <w:t>副市长孙硕</w:t>
      </w:r>
      <w:r>
        <w:rPr>
          <w:rFonts w:hint="eastAsia" w:ascii="Times New Roman" w:hAnsi="Times New Roman" w:eastAsia="楷体_GB2312" w:cs="Times New Roman"/>
          <w:color w:val="000000" w:themeColor="text1"/>
          <w:sz w:val="24"/>
          <w:szCs w:val="24"/>
          <w14:textFill>
            <w14:solidFill>
              <w14:schemeClr w14:val="tx1"/>
            </w14:solidFill>
          </w14:textFill>
        </w:rPr>
        <w:t>出席“双碳战略与绿色金融论坛”并致辞。</w:t>
      </w:r>
    </w:p>
    <w:p w14:paraId="2D76EFF3">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color w:val="000000" w:themeColor="text1"/>
          <w:sz w:val="24"/>
          <w:szCs w:val="24"/>
          <w14:textFill>
            <w14:solidFill>
              <w14:schemeClr w14:val="tx1"/>
            </w14:solidFill>
          </w14:textFill>
        </w:rPr>
        <w:t>中金公司董事长陈亮在论坛中致辞时表示，作为国有金融机构，中金公司始终秉持“植根中国、融通世界”的理念，深入参与绿色金融的国际实践。</w:t>
      </w:r>
      <w:r>
        <w:rPr>
          <w:rFonts w:ascii="Times New Roman" w:hAnsi="Times New Roman" w:eastAsia="楷体_GB2312" w:cs="Times New Roman"/>
          <w:color w:val="000000" w:themeColor="text1"/>
          <w:sz w:val="24"/>
          <w:szCs w:val="24"/>
          <w14:textFill>
            <w14:solidFill>
              <w14:schemeClr w14:val="tx1"/>
            </w14:solidFill>
          </w14:textFill>
        </w:rPr>
        <w:t>2024年，公司深化绿色金融创新，通过股票、债券、并购交易等支持绿色相关领域的交易超过3,900亿元，参与创设银行间市场首个“可持续发展+转型+两新”主题债券篮子，落地覆盖绿色投资领域的基金规模超过330亿元。此外，公司还与上海环境能源交易所共同发布“低碳转型+ESG”投资评价体系，连续两年为G20可持续金融工作组提供技术支持。</w:t>
      </w:r>
    </w:p>
    <w:p w14:paraId="78897BAC">
      <w:pPr>
        <w:pStyle w:val="5"/>
        <w:shd w:val="clear" w:color="auto" w:fill="FDFDFE"/>
        <w:spacing w:before="0" w:beforeAutospacing="0" w:after="0" w:afterAutospacing="0"/>
        <w:ind w:firstLine="480" w:firstLineChars="200"/>
        <w:jc w:val="both"/>
        <w:rPr>
          <w:rFonts w:ascii="Times New Roman" w:hAnsi="Times New Roman" w:eastAsia="楷体_GB2312" w:cs="Times New Roman"/>
          <w:color w:val="000000" w:themeColor="text1"/>
          <w14:textFill>
            <w14:solidFill>
              <w14:schemeClr w14:val="tx1"/>
            </w14:solidFill>
          </w14:textFill>
        </w:rPr>
      </w:pPr>
      <w:r>
        <w:rPr>
          <w:rFonts w:hint="eastAsia" w:ascii="Times New Roman" w:hAnsi="Times New Roman" w:eastAsia="楷体_GB2312" w:cs="Times New Roman"/>
          <w:color w:val="000000" w:themeColor="text1"/>
          <w14:textFill>
            <w14:solidFill>
              <w14:schemeClr w14:val="tx1"/>
            </w14:solidFill>
          </w14:textFill>
        </w:rPr>
        <w:t>“</w:t>
      </w:r>
      <w:r>
        <w:rPr>
          <w:rFonts w:ascii="Times New Roman" w:hAnsi="Times New Roman" w:eastAsia="楷体_GB2312" w:cs="Times New Roman"/>
          <w:color w:val="000000" w:themeColor="text1"/>
          <w14:textFill>
            <w14:solidFill>
              <w14:schemeClr w14:val="tx1"/>
            </w14:solidFill>
          </w14:textFill>
        </w:rPr>
        <w:t>另外，我们也很欣喜地告诉大家，今天这场</w:t>
      </w:r>
      <w:r>
        <w:rPr>
          <w:rFonts w:hint="eastAsia" w:ascii="Times New Roman" w:hAnsi="Times New Roman" w:eastAsia="楷体_GB2312" w:cs="Times New Roman"/>
          <w:color w:val="000000" w:themeColor="text1"/>
          <w14:textFill>
            <w14:solidFill>
              <w14:schemeClr w14:val="tx1"/>
            </w14:solidFill>
          </w14:textFill>
        </w:rPr>
        <w:t>‘</w:t>
      </w:r>
      <w:r>
        <w:rPr>
          <w:rFonts w:ascii="Times New Roman" w:hAnsi="Times New Roman" w:eastAsia="楷体_GB2312" w:cs="Times New Roman"/>
          <w:color w:val="000000" w:themeColor="text1"/>
          <w14:textFill>
            <w14:solidFill>
              <w14:schemeClr w14:val="tx1"/>
            </w14:solidFill>
          </w14:textFill>
        </w:rPr>
        <w:t>双碳战略与绿色金融</w:t>
      </w:r>
      <w:r>
        <w:rPr>
          <w:rFonts w:hint="eastAsia" w:ascii="Times New Roman" w:hAnsi="Times New Roman" w:eastAsia="楷体_GB2312" w:cs="Times New Roman"/>
          <w:color w:val="000000" w:themeColor="text1"/>
          <w14:textFill>
            <w14:solidFill>
              <w14:schemeClr w14:val="tx1"/>
            </w14:solidFill>
          </w14:textFill>
        </w:rPr>
        <w:t>’</w:t>
      </w:r>
      <w:r>
        <w:rPr>
          <w:rFonts w:ascii="Times New Roman" w:hAnsi="Times New Roman" w:eastAsia="楷体_GB2312" w:cs="Times New Roman"/>
          <w:color w:val="000000" w:themeColor="text1"/>
          <w14:textFill>
            <w14:solidFill>
              <w14:schemeClr w14:val="tx1"/>
            </w14:solidFill>
          </w14:textFill>
        </w:rPr>
        <w:t>论坛所产生的温室气体排放，将通过中金生态碳中和林“色达项目”所产生的碳汇量进行抵消，这个项目由中金公司、中金公益基金会和中国绿色碳汇基金会共同在四川省甘孜州色达县实施。</w:t>
      </w:r>
      <w:r>
        <w:rPr>
          <w:rFonts w:hint="eastAsia" w:ascii="Times New Roman" w:hAnsi="Times New Roman" w:eastAsia="楷体_GB2312" w:cs="Times New Roman"/>
          <w:color w:val="000000" w:themeColor="text1"/>
          <w14:textFill>
            <w14:solidFill>
              <w14:schemeClr w14:val="tx1"/>
            </w14:solidFill>
          </w14:textFill>
        </w:rPr>
        <w:t>”陈亮说，通过碳汇量的抵消，本次论坛成为真正的“碳中和”会议。</w:t>
      </w:r>
      <w:r>
        <w:rPr>
          <w:rFonts w:ascii="Times New Roman" w:hAnsi="Times New Roman" w:eastAsia="楷体_GB2312" w:cs="Times New Roman"/>
          <w:color w:val="000000" w:themeColor="text1"/>
          <w14:textFill>
            <w14:solidFill>
              <w14:schemeClr w14:val="tx1"/>
            </w14:solidFill>
          </w14:textFill>
        </w:rPr>
        <w:t>面向未来，中金公司将始终以高质量金融服务赋能绿色技术走出去，助力全球绿色转型和我国“双碳”目标实现。</w:t>
      </w:r>
    </w:p>
    <w:p w14:paraId="21ED2BDB">
      <w:pPr>
        <w:adjustRightInd w:val="0"/>
        <w:snapToGrid w:val="0"/>
        <w:spacing w:before="156" w:beforeLines="50" w:line="264" w:lineRule="auto"/>
        <w:ind w:firstLine="420"/>
        <w:rPr>
          <w:rFonts w:ascii="Times New Roman" w:hAnsi="Times New Roman" w:eastAsia="楷体_GB2312" w:cs="Times New Roman"/>
          <w:color w:val="000000" w:themeColor="text1"/>
          <w:kern w:val="0"/>
          <w:sz w:val="24"/>
          <w:szCs w:val="24"/>
          <w14:textFill>
            <w14:solidFill>
              <w14:schemeClr w14:val="tx1"/>
            </w14:solidFill>
          </w14:textFill>
        </w:rPr>
      </w:pPr>
      <w:r>
        <w:rPr>
          <w:rFonts w:hint="eastAsia" w:ascii="Times New Roman" w:hAnsi="Times New Roman" w:eastAsia="楷体_GB2312" w:cs="Times New Roman"/>
          <w:color w:val="000000" w:themeColor="text1"/>
          <w:kern w:val="0"/>
          <w:sz w:val="24"/>
          <w:szCs w:val="24"/>
          <w14:textFill>
            <w14:solidFill>
              <w14:schemeClr w14:val="tx1"/>
            </w14:solidFill>
          </w14:textFill>
        </w:rPr>
        <w:t>本次论坛上，中国绿色碳汇基金会理事长宣读了《碳排放评价及碳中和报告书》，并向中金公司董事长陈亮授予“碳中和会议”牌匾。</w:t>
      </w:r>
    </w:p>
    <w:p w14:paraId="4975F86B">
      <w:pPr>
        <w:adjustRightInd w:val="0"/>
        <w:snapToGrid w:val="0"/>
        <w:spacing w:before="156" w:beforeLines="50" w:line="264" w:lineRule="auto"/>
        <w:ind w:firstLine="420"/>
        <w:rPr>
          <w:rFonts w:ascii="Times New Roman" w:hAnsi="Times New Roman" w:eastAsia="楷体_GB2312" w:cs="Times New Roman"/>
          <w:color w:val="000000" w:themeColor="text1"/>
          <w:kern w:val="0"/>
          <w:sz w:val="24"/>
          <w:szCs w:val="24"/>
          <w14:textFill>
            <w14:solidFill>
              <w14:schemeClr w14:val="tx1"/>
            </w14:solidFill>
          </w14:textFill>
        </w:rPr>
      </w:pPr>
      <w:r>
        <w:rPr>
          <w:rFonts w:hint="eastAsia" w:ascii="Times New Roman" w:hAnsi="Times New Roman" w:eastAsia="楷体_GB2312" w:cs="Times New Roman"/>
          <w:color w:val="000000" w:themeColor="text1"/>
          <w:kern w:val="0"/>
          <w:sz w:val="24"/>
          <w:szCs w:val="24"/>
          <w14:textFill>
            <w14:solidFill>
              <w14:schemeClr w14:val="tx1"/>
            </w14:solidFill>
          </w14:textFill>
        </w:rPr>
        <w:t>在主旨演讲环节，</w:t>
      </w:r>
      <w:r>
        <w:rPr>
          <w:rFonts w:ascii="Times New Roman" w:hAnsi="Times New Roman" w:eastAsia="楷体_GB2312" w:cs="Times New Roman"/>
          <w:color w:val="000000" w:themeColor="text1"/>
          <w:kern w:val="0"/>
          <w:sz w:val="24"/>
          <w:szCs w:val="24"/>
          <w14:textFill>
            <w14:solidFill>
              <w14:schemeClr w14:val="tx1"/>
            </w14:solidFill>
          </w14:textFill>
        </w:rPr>
        <w:t>中国工程院院士尹伟伦</w:t>
      </w:r>
      <w:r>
        <w:rPr>
          <w:rFonts w:hint="eastAsia" w:ascii="Times New Roman" w:hAnsi="Times New Roman" w:eastAsia="楷体_GB2312" w:cs="Times New Roman"/>
          <w:color w:val="000000" w:themeColor="text1"/>
          <w:kern w:val="0"/>
          <w:sz w:val="24"/>
          <w:szCs w:val="24"/>
          <w14:textFill>
            <w14:solidFill>
              <w14:schemeClr w14:val="tx1"/>
            </w14:solidFill>
          </w14:textFill>
        </w:rPr>
        <w:t>，</w:t>
      </w:r>
      <w:r>
        <w:rPr>
          <w:rFonts w:ascii="Times New Roman" w:hAnsi="Times New Roman" w:eastAsia="楷体_GB2312" w:cs="Times New Roman"/>
          <w:color w:val="000000" w:themeColor="text1"/>
          <w:kern w:val="0"/>
          <w:sz w:val="24"/>
          <w:szCs w:val="24"/>
          <w14:textFill>
            <w14:solidFill>
              <w14:schemeClr w14:val="tx1"/>
            </w14:solidFill>
          </w14:textFill>
        </w:rPr>
        <w:t>英国驻华副贸易使节、公使衔参赞柯麦佑（Matt Crossman）</w:t>
      </w:r>
      <w:r>
        <w:rPr>
          <w:rFonts w:hint="eastAsia" w:ascii="Times New Roman" w:hAnsi="Times New Roman" w:eastAsia="楷体_GB2312" w:cs="Times New Roman"/>
          <w:color w:val="000000" w:themeColor="text1"/>
          <w:kern w:val="0"/>
          <w:sz w:val="24"/>
          <w:szCs w:val="24"/>
          <w14:textFill>
            <w14:solidFill>
              <w14:schemeClr w14:val="tx1"/>
            </w14:solidFill>
          </w14:textFill>
        </w:rPr>
        <w:t>，</w:t>
      </w:r>
      <w:r>
        <w:rPr>
          <w:rFonts w:ascii="Times New Roman" w:hAnsi="Times New Roman" w:eastAsia="楷体_GB2312" w:cs="Times New Roman"/>
          <w:color w:val="000000" w:themeColor="text1"/>
          <w:kern w:val="0"/>
          <w:sz w:val="24"/>
          <w:szCs w:val="24"/>
          <w14:textFill>
            <w14:solidFill>
              <w14:schemeClr w14:val="tx1"/>
            </w14:solidFill>
          </w14:textFill>
        </w:rPr>
        <w:t>欧盟驻华代表团公使衔参赞沙斌诺（Sabino FORNIES MARTINEZ），中国绿色碳汇基金会理事长杨超，中金公司首席经济学家、研究部负责人、中金研究院院长彭文生，中智科学技术评价研究中心理事长、主任李闽榕，牛津能源研究所高级研究员侯安德（Anders Hove）</w:t>
      </w:r>
      <w:r>
        <w:rPr>
          <w:rFonts w:hint="eastAsia" w:ascii="Times New Roman" w:hAnsi="Times New Roman" w:eastAsia="楷体_GB2312" w:cs="Times New Roman"/>
          <w:color w:val="000000" w:themeColor="text1"/>
          <w:kern w:val="0"/>
          <w:sz w:val="24"/>
          <w:szCs w:val="24"/>
          <w14:textFill>
            <w14:solidFill>
              <w14:schemeClr w14:val="tx1"/>
            </w14:solidFill>
          </w14:textFill>
        </w:rPr>
        <w:t>等七位来自不同领域的权威专家，围绕双碳战略与绿色金融的核心议题，分享各自的前沿观点与深刻见解。</w:t>
      </w:r>
    </w:p>
    <w:p w14:paraId="0A688A12">
      <w:pPr>
        <w:adjustRightInd w:val="0"/>
        <w:snapToGrid w:val="0"/>
        <w:spacing w:before="156" w:beforeLines="50" w:line="264" w:lineRule="auto"/>
        <w:ind w:firstLine="420"/>
        <w:rPr>
          <w:rFonts w:ascii="Times New Roman" w:hAnsi="Times New Roman" w:eastAsia="楷体_GB2312" w:cs="Times New Roman"/>
          <w:color w:val="000000" w:themeColor="text1"/>
          <w:kern w:val="0"/>
          <w:sz w:val="24"/>
          <w:szCs w:val="24"/>
          <w14:textFill>
            <w14:solidFill>
              <w14:schemeClr w14:val="tx1"/>
            </w14:solidFill>
          </w14:textFill>
        </w:rPr>
      </w:pPr>
      <w:r>
        <w:rPr>
          <w:rFonts w:ascii="Times New Roman" w:hAnsi="Times New Roman" w:eastAsia="楷体_GB2312" w:cs="Times New Roman"/>
          <w:color w:val="000000" w:themeColor="text1"/>
          <w:kern w:val="0"/>
          <w:sz w:val="24"/>
          <w:szCs w:val="24"/>
          <w14:textFill>
            <w14:solidFill>
              <w14:schemeClr w14:val="tx1"/>
            </w14:solidFill>
          </w14:textFill>
        </w:rPr>
        <w:t>中国工程院院士尹伟伦发表题为“森林碳汇功能提升的科技支撑与碳汇市场的构建思考”演讲，在碳汇生产力资源培育上，提出将森林经营从单一的木材生产转向木材与碳汇等生态产品的多种经营的方向上来，构建了不同林型森林碳汇生产力提升的技术体系；在碳汇市场建设方面，提出了政府、市场、社会应充分协同，政府需完善生态补偿政策，企业应提高碳抵消比例，社会应通过碳普惠机制引导公众参与，通过创新零碳社区、碳账户等应用场景，推动林业碳汇价值转化，助力绿色金融发展的战略思路。</w:t>
      </w:r>
    </w:p>
    <w:p w14:paraId="13BD451A">
      <w:pPr>
        <w:adjustRightInd w:val="0"/>
        <w:snapToGrid w:val="0"/>
        <w:spacing w:before="156" w:beforeLines="50" w:line="264" w:lineRule="auto"/>
        <w:ind w:firstLine="420"/>
        <w:rPr>
          <w:rFonts w:ascii="Times New Roman" w:hAnsi="Times New Roman" w:eastAsia="楷体_GB2312" w:cs="Times New Roman"/>
          <w:bCs/>
          <w:sz w:val="24"/>
        </w:rPr>
      </w:pPr>
      <w:r>
        <w:rPr>
          <w:rFonts w:ascii="Times New Roman" w:hAnsi="Times New Roman" w:eastAsia="楷体_GB2312" w:cs="Times New Roman"/>
          <w:color w:val="000000" w:themeColor="text1"/>
          <w:kern w:val="0"/>
          <w:sz w:val="24"/>
          <w:szCs w:val="24"/>
          <w14:textFill>
            <w14:solidFill>
              <w14:schemeClr w14:val="tx1"/>
            </w14:solidFill>
          </w14:textFill>
        </w:rPr>
        <w:t>英国驻华副贸易使节、公使衔参赞柯麦佑（Matt Crossman）在演讲中强调中英两国在绿色金融与能源转型领域的深度合作。指出英国通过《绿色金融战略》、主权绿色债券发行及国家财富基金等举措引领全球绿色金融发展，并与中国保持紧密合作，包括中国拟在伦敦发行首只主权绿债。近期中英第八次能源对话聚焦清洁技术、能源安全等议题。英国提出2030清洁电力计划，英国政府将投入220亿英镑用于碳捕集与封存等。呼吁深化中英协同创新，通过公共投资激活私营领域活力，共同引领全球能源系统脱碳进程。</w:t>
      </w:r>
    </w:p>
    <w:p w14:paraId="668BD391">
      <w:pPr>
        <w:adjustRightInd w:val="0"/>
        <w:snapToGrid w:val="0"/>
        <w:spacing w:before="156" w:beforeLines="50" w:line="264" w:lineRule="auto"/>
        <w:ind w:firstLine="420"/>
        <w:rPr>
          <w:rFonts w:ascii="Times New Roman" w:hAnsi="Times New Roman" w:eastAsia="楷体_GB2312" w:cs="Times New Roman"/>
          <w:bCs/>
          <w:sz w:val="24"/>
        </w:rPr>
      </w:pPr>
      <w:r>
        <w:rPr>
          <w:rFonts w:ascii="Times New Roman" w:hAnsi="Times New Roman" w:eastAsia="楷体_GB2312" w:cs="Times New Roman"/>
          <w:bCs/>
          <w:sz w:val="24"/>
        </w:rPr>
        <w:t>欧盟驻华代表团公使衔参赞沙斌诺（Sabino FORNIES MARTINEZ）指出，绿色转型是欧洲实现竞争力、经济韧性与繁荣的核心战略。可持续金融框架是转型关键，包括欧盟分类法、企业可持续报告指令等工具，引导资本流向绿色领域。他特别指出，应保持良好的中欧合作关系，强调双方作为世界上最大的两个经济体，应继续与其他国际伙伴一道，致力于在清洁能源技术、绿色金融市场和国际标准协同等方面构建一个公平且可信的体系；通过多边平台推动全球气候融资的可信性与可比性，打造绿色投资的示范，将气候挑战转化为促进创新、公平与世代繁荣的历史机遇。</w:t>
      </w:r>
    </w:p>
    <w:p w14:paraId="5E4CB296">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bCs/>
          <w:sz w:val="24"/>
        </w:rPr>
        <w:t>中国绿色碳汇基金会理事长杨超表示，金融机构在支持林业高质量发展，提升林业碳汇能力方面进行了有益探索。陆续推出了碳汇质押贷款，碳汇债券、碳汇保险等多种金融产品。创新提出了碳汇期货、碳汇期权，远期回购等多种创新工具，取得了积极成效，为林业碳汇能力的提升注入了源头活水。</w:t>
      </w:r>
    </w:p>
    <w:p w14:paraId="06A01559">
      <w:pPr>
        <w:adjustRightInd w:val="0"/>
        <w:snapToGrid w:val="0"/>
        <w:spacing w:before="156" w:beforeLines="50" w:line="264" w:lineRule="auto"/>
        <w:ind w:firstLine="480" w:firstLineChars="200"/>
        <w:rPr>
          <w:rFonts w:ascii="Times New Roman" w:hAnsi="Times New Roman" w:eastAsia="楷体_GB2312" w:cs="Times New Roman"/>
          <w:bCs/>
          <w:sz w:val="24"/>
        </w:rPr>
      </w:pPr>
      <w:r>
        <w:rPr>
          <w:rFonts w:hint="eastAsia" w:ascii="Times New Roman" w:hAnsi="Times New Roman" w:eastAsia="楷体_GB2312" w:cs="Times New Roman"/>
          <w:color w:val="000000" w:themeColor="text1"/>
          <w:sz w:val="24"/>
          <w:szCs w:val="24"/>
          <w14:textFill>
            <w14:solidFill>
              <w14:schemeClr w14:val="tx1"/>
            </w14:solidFill>
          </w14:textFill>
        </w:rPr>
        <w:t>中金公司首席经济学家</w:t>
      </w:r>
      <w:r>
        <w:rPr>
          <w:rFonts w:ascii="Times New Roman" w:hAnsi="Times New Roman" w:eastAsia="楷体_GB2312" w:cs="Times New Roman"/>
          <w:color w:val="000000" w:themeColor="text1"/>
          <w:sz w:val="24"/>
          <w:szCs w:val="24"/>
          <w14:textFill>
            <w14:solidFill>
              <w14:schemeClr w14:val="tx1"/>
            </w14:solidFill>
          </w14:textFill>
        </w:rPr>
        <w:t>彭文生</w:t>
      </w:r>
      <w:r>
        <w:rPr>
          <w:rFonts w:hint="eastAsia" w:ascii="Times New Roman" w:hAnsi="Times New Roman" w:eastAsia="楷体_GB2312" w:cs="Times New Roman"/>
          <w:color w:val="000000" w:themeColor="text1"/>
          <w:sz w:val="24"/>
          <w:szCs w:val="24"/>
          <w14:textFill>
            <w14:solidFill>
              <w14:schemeClr w14:val="tx1"/>
            </w14:solidFill>
          </w14:textFill>
        </w:rPr>
        <w:t>发表了题为“地缘经济新形势下的绿色转型”的主旨演讲。他认为，</w:t>
      </w:r>
      <w:r>
        <w:rPr>
          <w:rFonts w:ascii="Times New Roman" w:hAnsi="Times New Roman" w:eastAsia="楷体_GB2312" w:cs="Times New Roman"/>
          <w:color w:val="000000" w:themeColor="text1"/>
          <w:sz w:val="24"/>
          <w:szCs w:val="24"/>
          <w14:textFill>
            <w14:solidFill>
              <w14:schemeClr w14:val="tx1"/>
            </w14:solidFill>
          </w14:textFill>
        </w:rPr>
        <w:t>中国绿色产业成功源于三大</w:t>
      </w:r>
      <w:r>
        <w:rPr>
          <w:rFonts w:hint="eastAsia" w:ascii="Times New Roman" w:hAnsi="Times New Roman" w:eastAsia="楷体_GB2312" w:cs="Times New Roman"/>
          <w:color w:val="000000" w:themeColor="text1"/>
          <w:sz w:val="24"/>
          <w:szCs w:val="24"/>
          <w14:textFill>
            <w14:solidFill>
              <w14:schemeClr w14:val="tx1"/>
            </w14:solidFill>
          </w14:textFill>
        </w:rPr>
        <w:t>方面，</w:t>
      </w:r>
      <w:r>
        <w:rPr>
          <w:rFonts w:ascii="Times New Roman" w:hAnsi="Times New Roman" w:eastAsia="楷体_GB2312" w:cs="Times New Roman"/>
          <w:color w:val="000000" w:themeColor="text1"/>
          <w:sz w:val="24"/>
          <w:szCs w:val="24"/>
          <w14:textFill>
            <w14:solidFill>
              <w14:schemeClr w14:val="tx1"/>
            </w14:solidFill>
          </w14:textFill>
        </w:rPr>
        <w:t>制造业规模经济降低成本、市场竞争推动效率提升，以及公共政策有效干预外部性问题。</w:t>
      </w:r>
      <w:r>
        <w:rPr>
          <w:rFonts w:hint="eastAsia" w:ascii="Times New Roman" w:hAnsi="Times New Roman" w:eastAsia="楷体_GB2312" w:cs="Times New Roman"/>
          <w:color w:val="000000" w:themeColor="text1"/>
          <w:sz w:val="24"/>
          <w:szCs w:val="24"/>
          <w14:textFill>
            <w14:solidFill>
              <w14:schemeClr w14:val="tx1"/>
            </w14:solidFill>
          </w14:textFill>
        </w:rPr>
        <w:t>面对新的地缘经济形势下</w:t>
      </w:r>
      <w:r>
        <w:rPr>
          <w:rFonts w:ascii="Times New Roman" w:hAnsi="Times New Roman" w:eastAsia="楷体_GB2312" w:cs="Times New Roman"/>
          <w:color w:val="000000" w:themeColor="text1"/>
          <w:sz w:val="24"/>
          <w:szCs w:val="24"/>
          <w14:textFill>
            <w14:solidFill>
              <w14:schemeClr w14:val="tx1"/>
            </w14:solidFill>
          </w14:textFill>
        </w:rPr>
        <w:t>中国需创新综合性政策，协同供给侧支持与</w:t>
      </w:r>
      <w:r>
        <w:rPr>
          <w:rFonts w:hint="eastAsia" w:ascii="Times New Roman" w:hAnsi="Times New Roman" w:eastAsia="楷体_GB2312" w:cs="Times New Roman"/>
          <w:color w:val="000000" w:themeColor="text1"/>
          <w:sz w:val="24"/>
          <w:szCs w:val="24"/>
          <w14:textFill>
            <w14:solidFill>
              <w14:schemeClr w14:val="tx1"/>
            </w14:solidFill>
          </w14:textFill>
        </w:rPr>
        <w:t>监管政策调整</w:t>
      </w:r>
      <w:r>
        <w:rPr>
          <w:rFonts w:ascii="Times New Roman" w:hAnsi="Times New Roman" w:eastAsia="楷体_GB2312" w:cs="Times New Roman"/>
          <w:color w:val="000000" w:themeColor="text1"/>
          <w:sz w:val="24"/>
          <w:szCs w:val="24"/>
          <w14:textFill>
            <w14:solidFill>
              <w14:schemeClr w14:val="tx1"/>
            </w14:solidFill>
          </w14:textFill>
        </w:rPr>
        <w:t>，并强化</w:t>
      </w:r>
      <w:r>
        <w:rPr>
          <w:rFonts w:hint="eastAsia" w:ascii="Times New Roman" w:hAnsi="Times New Roman" w:eastAsia="楷体_GB2312" w:cs="Times New Roman"/>
          <w:color w:val="000000" w:themeColor="text1"/>
          <w:sz w:val="24"/>
          <w:szCs w:val="24"/>
          <w14:textFill>
            <w14:solidFill>
              <w14:schemeClr w14:val="tx1"/>
            </w14:solidFill>
          </w14:textFill>
        </w:rPr>
        <w:t>外部</w:t>
      </w:r>
      <w:r>
        <w:rPr>
          <w:rFonts w:ascii="Times New Roman" w:hAnsi="Times New Roman" w:eastAsia="楷体_GB2312" w:cs="Times New Roman"/>
          <w:color w:val="000000" w:themeColor="text1"/>
          <w:sz w:val="24"/>
          <w:szCs w:val="24"/>
          <w14:textFill>
            <w14:solidFill>
              <w14:schemeClr w14:val="tx1"/>
            </w14:solidFill>
          </w14:textFill>
        </w:rPr>
        <w:t>合作，利用制造业优势共同应对全球绿色产业链压力，维护动态规模经济与技术创新活力，为碳中和目标提供可持续动力。</w:t>
      </w:r>
    </w:p>
    <w:p w14:paraId="4727F23E">
      <w:pPr>
        <w:adjustRightInd w:val="0"/>
        <w:snapToGrid w:val="0"/>
        <w:spacing w:before="156" w:beforeLines="50" w:line="264" w:lineRule="auto"/>
        <w:ind w:firstLine="480" w:firstLineChars="200"/>
        <w:rPr>
          <w:rFonts w:ascii="Times New Roman" w:hAnsi="Times New Roman" w:eastAsia="楷体_GB2312" w:cs="Times New Roman"/>
          <w:bCs/>
          <w:sz w:val="24"/>
        </w:rPr>
      </w:pPr>
      <w:r>
        <w:rPr>
          <w:rFonts w:ascii="Times New Roman" w:hAnsi="Times New Roman" w:eastAsia="楷体_GB2312" w:cs="Times New Roman"/>
          <w:bCs/>
          <w:sz w:val="24"/>
        </w:rPr>
        <w:t>中智科学技术评价研究中心理事长、主任李闽榕在演讲中简要介绍了中智智库近年来在科技成果评价标准制订、开展科技成果评价、推动科技成果转化、协助科技成果认证和推广应用等闭环体系构建相关工作，提出绿色新质生产力的概念定义、以“两山”理论为指导推动绿色科技金融赋能绿色新质生产力发展，以及绿色新质生产力发展的价值观与方法论，指出绿色新质生产力发展迫切需要绿色科技和绿色金融的各自支持及相互支持与赋能，需要绿色科技和绿色金融共同支持与赋能绿色制造、合力推进智慧与绿色融合发展，从科技研发与孵化（构建全周期金融支持体系）、商业化与产业化（以金融杠杆撬动市场应用）和全产业链协同（推动生态资源价值实现转化）三重路径支持与赋能绿色新质生产力发展，并以绿色设计促进绿色科技和绿色金融助力绿色新质生产力发展。</w:t>
      </w:r>
    </w:p>
    <w:p w14:paraId="6BC2A8CC">
      <w:pPr>
        <w:adjustRightInd w:val="0"/>
        <w:snapToGrid w:val="0"/>
        <w:spacing w:before="156" w:beforeLines="50" w:line="264" w:lineRule="auto"/>
        <w:ind w:firstLine="480" w:firstLineChars="20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bCs/>
          <w:sz w:val="24"/>
        </w:rPr>
        <w:t>牛津能源研究所高级研究员侯安德（Anders Hove）演讲中深入分析中国崛起为清洁能源创新强国及该领域全球技术引领者的原因。</w:t>
      </w:r>
      <w:r>
        <w:rPr>
          <w:rFonts w:hint="eastAsia" w:ascii="Times New Roman" w:hAnsi="Times New Roman" w:eastAsia="楷体_GB2312" w:cs="Times New Roman"/>
          <w:color w:val="000000" w:themeColor="text1"/>
          <w:kern w:val="0"/>
          <w:sz w:val="24"/>
          <w:szCs w:val="24"/>
          <w14:textFill>
            <w14:solidFill>
              <w14:schemeClr w14:val="tx1"/>
            </w14:solidFill>
          </w14:textFill>
        </w:rPr>
        <w:t>首先，政策是中国清洁能源行业从无到有、发展壮大的核心驱动力；其次，市场因素至关重要；三是庞大的人才储备，包括工程师、科研人员、管理精英及制造技术专家，中国具备快速建立并规模化新兴产业的能力；最后，激烈的国内竞争环境。此外，还包括清洁能源技术本身的特性。垂直整合与产业集群是中国产业规模化成功的关键。</w:t>
      </w:r>
    </w:p>
    <w:p w14:paraId="3BFA3040">
      <w:pPr>
        <w:adjustRightInd w:val="0"/>
        <w:snapToGrid w:val="0"/>
        <w:spacing w:before="156" w:beforeLines="50" w:line="264" w:lineRule="auto"/>
        <w:ind w:firstLine="480" w:firstLineChars="20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color w:val="000000" w:themeColor="text1"/>
          <w:sz w:val="24"/>
          <w:szCs w:val="24"/>
          <w14:textFill>
            <w14:solidFill>
              <w14:schemeClr w14:val="tx1"/>
            </w14:solidFill>
          </w14:textFill>
        </w:rPr>
        <w:t>在主旨演讲结束后，中金公司投资银行部在本次大会上发布了中金公司“专精特新”综合产品服务方案。中金公司在投行传统服务模式和产品的基础上，通过调研企业发展的核心痛点，形成了三层级的梯度服务体系，一站式满足企业发展不同的阶段、不同服务深度的需求。此次“专精特新”</w:t>
      </w:r>
      <w:r>
        <w:rPr>
          <w:rFonts w:ascii="Times New Roman" w:hAnsi="Times New Roman" w:eastAsia="楷体_GB2312" w:cs="Times New Roman"/>
          <w:color w:val="000000" w:themeColor="text1"/>
          <w:sz w:val="24"/>
          <w:szCs w:val="24"/>
          <w14:textFill>
            <w14:solidFill>
              <w14:schemeClr w14:val="tx1"/>
            </w14:solidFill>
          </w14:textFill>
        </w:rPr>
        <w:t>综合产品服务方案的推出，是中金公司应时而变、锐意进取，全面赋能广大“专精特新”企业的重要举措，是未来在资本市场扎稳根基、高质量长远发展的重要基石。</w:t>
      </w:r>
    </w:p>
    <w:p w14:paraId="0015C02C">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color w:val="000000" w:themeColor="text1"/>
          <w:sz w:val="24"/>
          <w:szCs w:val="24"/>
          <w14:textFill>
            <w14:solidFill>
              <w14:schemeClr w14:val="tx1"/>
            </w14:solidFill>
          </w14:textFill>
        </w:rPr>
        <w:t>在圆桌讨论环节，中金公司投资银行部固定收益组执行负责人、董事总经理程达明主持了以“金融助力绿色产业发展新动能”为题的圆桌讨论，世界自然保护联盟（</w:t>
      </w:r>
      <w:r>
        <w:rPr>
          <w:rFonts w:ascii="Times New Roman" w:hAnsi="Times New Roman" w:eastAsia="楷体_GB2312" w:cs="Times New Roman"/>
          <w:color w:val="000000" w:themeColor="text1"/>
          <w:sz w:val="24"/>
          <w:szCs w:val="24"/>
          <w14:textFill>
            <w14:solidFill>
              <w14:schemeClr w14:val="tx1"/>
            </w14:solidFill>
          </w14:textFill>
        </w:rPr>
        <w:t>IUCN）中国代表处主任张琰，蚂蚁集团合规部总经理李鑫，北京科技创新投资管理有限公司董事、常务副总经理陈涛，深圳市创新投资集团执行总经理周军围绕绿色金融与ESG理念在实体经济中的应用，探讨生态保护、消费金融、科创投资及风险资本如何协同推动可持续发展</w:t>
      </w:r>
      <w:r>
        <w:rPr>
          <w:rFonts w:hint="eastAsia" w:ascii="Times New Roman" w:hAnsi="Times New Roman" w:eastAsia="楷体_GB2312" w:cs="Times New Roman"/>
          <w:color w:val="000000" w:themeColor="text1"/>
          <w:sz w:val="24"/>
          <w:szCs w:val="24"/>
          <w14:textFill>
            <w14:solidFill>
              <w14:schemeClr w14:val="tx1"/>
            </w14:solidFill>
          </w14:textFill>
        </w:rPr>
        <w:t>等</w:t>
      </w:r>
      <w:r>
        <w:rPr>
          <w:rFonts w:ascii="Times New Roman" w:hAnsi="Times New Roman" w:eastAsia="楷体_GB2312" w:cs="Times New Roman"/>
          <w:color w:val="000000" w:themeColor="text1"/>
          <w:sz w:val="24"/>
          <w:szCs w:val="24"/>
          <w14:textFill>
            <w14:solidFill>
              <w14:schemeClr w14:val="tx1"/>
            </w14:solidFill>
          </w14:textFill>
        </w:rPr>
        <w:t>话题展开了讨论。</w:t>
      </w:r>
    </w:p>
    <w:p w14:paraId="249AC1E9">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r>
        <w:rPr>
          <w:rFonts w:hint="eastAsia" w:ascii="Times New Roman" w:hAnsi="Times New Roman" w:eastAsia="楷体_GB2312" w:cs="Times New Roman"/>
          <w:color w:val="000000" w:themeColor="text1"/>
          <w:sz w:val="24"/>
          <w:szCs w:val="24"/>
          <w14:textFill>
            <w14:solidFill>
              <w14:schemeClr w14:val="tx1"/>
            </w14:solidFill>
          </w14:textFill>
        </w:rPr>
        <w:t>金融作为促进绿色技术进步的重要力量，近年来，中国在全球绿色技术投资中表现活跃，为推动全球绿色转型扮演了至关重要的角色。展望未来，中金公司</w:t>
      </w:r>
      <w:r>
        <w:rPr>
          <w:rFonts w:ascii="Times New Roman" w:hAnsi="Times New Roman" w:eastAsia="楷体_GB2312" w:cs="Times New Roman"/>
          <w:color w:val="000000" w:themeColor="text1"/>
          <w:sz w:val="24"/>
          <w:szCs w:val="24"/>
          <w14:textFill>
            <w14:solidFill>
              <w14:schemeClr w14:val="tx1"/>
            </w14:solidFill>
          </w14:textFill>
        </w:rPr>
        <w:t>将着力构建多层次、立体化的绿色金融国际合作体系</w:t>
      </w:r>
      <w:r>
        <w:rPr>
          <w:rFonts w:hint="eastAsia" w:ascii="Times New Roman" w:hAnsi="Times New Roman" w:eastAsia="楷体_GB2312" w:cs="Times New Roman"/>
          <w:color w:val="000000" w:themeColor="text1"/>
          <w:sz w:val="24"/>
          <w:szCs w:val="24"/>
          <w14:textFill>
            <w14:solidFill>
              <w14:schemeClr w14:val="tx1"/>
            </w14:solidFill>
          </w14:textFill>
        </w:rPr>
        <w:t>。一是通过</w:t>
      </w:r>
      <w:r>
        <w:rPr>
          <w:rFonts w:ascii="Times New Roman" w:hAnsi="Times New Roman" w:eastAsia="楷体_GB2312" w:cs="Times New Roman"/>
          <w:color w:val="000000" w:themeColor="text1"/>
          <w:sz w:val="24"/>
          <w:szCs w:val="24"/>
          <w14:textFill>
            <w14:solidFill>
              <w14:schemeClr w14:val="tx1"/>
            </w14:solidFill>
          </w14:textFill>
        </w:rPr>
        <w:t>绿色资本“走出去”，通过绿色熊猫债等工具支持海外先进</w:t>
      </w:r>
      <w:r>
        <w:rPr>
          <w:rFonts w:hint="eastAsia" w:ascii="Times New Roman" w:hAnsi="Times New Roman" w:eastAsia="楷体_GB2312" w:cs="Times New Roman"/>
          <w:color w:val="000000" w:themeColor="text1"/>
          <w:sz w:val="24"/>
          <w:szCs w:val="24"/>
          <w14:textFill>
            <w14:solidFill>
              <w14:schemeClr w14:val="tx1"/>
            </w14:solidFill>
          </w14:textFill>
        </w:rPr>
        <w:t>绿色技术在国内融资；二是做好国际绿色资本“引进来”，通过在国际资本市场发行绿色债券融资，助力国内绿色技术发展；三是在第三方市场积极开展多双边合作，为全球绿色技术合作提供金融支持。</w:t>
      </w:r>
    </w:p>
    <w:p w14:paraId="514903A9">
      <w:pPr>
        <w:adjustRightInd w:val="0"/>
        <w:snapToGrid w:val="0"/>
        <w:spacing w:before="156" w:beforeLines="50" w:line="264" w:lineRule="auto"/>
        <w:ind w:firstLine="420"/>
        <w:rPr>
          <w:rFonts w:ascii="Times New Roman" w:hAnsi="Times New Roman" w:eastAsia="楷体_GB2312" w:cs="Times New Roman"/>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FE6717"/>
    <w:rsid w:val="382563B1"/>
    <w:rsid w:val="539749A1"/>
    <w:rsid w:val="5ADFD47F"/>
    <w:rsid w:val="5DAEFD76"/>
    <w:rsid w:val="5FDF97CE"/>
    <w:rsid w:val="7C5F3F74"/>
    <w:rsid w:val="7FBF935A"/>
    <w:rsid w:val="97F773A2"/>
    <w:rsid w:val="EDFB782F"/>
    <w:rsid w:val="F6DF2B09"/>
    <w:rsid w:val="F87F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CICC</Company>
  <Pages>3</Pages>
  <Words>3319</Words>
  <Characters>3429</Characters>
  <Lines>62</Lines>
  <Paragraphs>18</Paragraphs>
  <TotalTime>18</TotalTime>
  <ScaleCrop>false</ScaleCrop>
  <LinksUpToDate>false</LinksUpToDate>
  <CharactersWithSpaces>3437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2025-03-30T22:31:00Z</dcterms:created>
  <dc:creator>Hong Wang (PR)</dc:creator>
  <cp:lastModifiedBy>xll</cp:lastModifiedBy>
  <dcterms:modified xsi:type="dcterms:W3CDTF">2025-03-31T02:14:55Z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8B505BA9A5220C37FCEDE967158C8C5F_43</vt:lpwstr>
  </property>
  <property fmtid="{D5CDD505-2E9C-101B-9397-08002B2CF9AE}" pid="3" name="KSOProductBuildVer">
    <vt:lpwstr>2052-12.1.0.20305</vt:lpwstr>
  </property>
  <property fmtid="{D5CDD505-2E9C-101B-9397-08002B2CF9AE}" pid="4" name="KSOTemplateDocerSaveRecord">
    <vt:lpwstr>eyJoZGlkIjoiZGNhYTY5YmM2OTZiYzhmMWFmNWM1NzQ1YzM5MzBmNzYiLCJ1c2VySWQiOiI5MjAzMzU3MTcifQ==</vt:lpwstr>
  </property>
</Properties>
</file>