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68E25">
      <w:pPr>
        <w:spacing w:line="5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北京杰出</w:t>
      </w:r>
      <w:bookmarkStart w:id="0" w:name="_GoBack"/>
      <w:bookmarkEnd w:id="0"/>
      <w:r>
        <w:rPr>
          <w:rFonts w:hint="eastAsia" w:ascii="仿宋_GB2312" w:hAnsi="仿宋_GB2312" w:eastAsia="仿宋_GB2312" w:cs="仿宋_GB2312"/>
          <w:b/>
          <w:sz w:val="36"/>
          <w:szCs w:val="36"/>
        </w:rPr>
        <w:t>青年科技人才发展论坛举办</w:t>
      </w:r>
    </w:p>
    <w:p w14:paraId="4AA2717C">
      <w:pPr>
        <w:spacing w:line="560" w:lineRule="exact"/>
        <w:jc w:val="center"/>
        <w:rPr>
          <w:rFonts w:hint="eastAsia" w:ascii="仿宋_GB2312" w:hAnsi="仿宋_GB2312" w:eastAsia="仿宋_GB2312" w:cs="仿宋_GB2312"/>
          <w:b/>
          <w:sz w:val="36"/>
          <w:szCs w:val="36"/>
        </w:rPr>
      </w:pPr>
    </w:p>
    <w:p w14:paraId="472E3125">
      <w:pPr>
        <w:pStyle w:val="10"/>
        <w:snapToGrid w:val="0"/>
        <w:ind w:firstLine="640"/>
        <w:rPr>
          <w:rFonts w:hint="default"/>
        </w:rPr>
      </w:pPr>
      <w:r>
        <w:t>3</w:t>
      </w:r>
      <w:r>
        <w:rPr>
          <w:rFonts w:hint="default"/>
        </w:rPr>
        <w:t>月</w:t>
      </w:r>
      <w:r>
        <w:t>30</w:t>
      </w:r>
      <w:r>
        <w:rPr>
          <w:rFonts w:hint="default"/>
        </w:rPr>
        <w:t>日，2025中关村论坛</w:t>
      </w:r>
      <w:r>
        <w:rPr>
          <w:rFonts w:hint="eastAsia"/>
          <w:lang w:val="en-US" w:eastAsia="zh-CN"/>
        </w:rPr>
        <w:t>年会平行论坛——</w:t>
      </w:r>
      <w:r>
        <w:rPr>
          <w:rFonts w:hint="default"/>
        </w:rPr>
        <w:t>北京杰出青年科技人才发展论坛在北京举办。本次论坛以“科技创新·青年担当”为主题，</w:t>
      </w:r>
      <w:r>
        <w:t>坚持教育、科技、人才一体化引领，旨在进一步激励和支持青年科技人才发展，弘扬科学家精神，引领青年科技人才积极投身北京国际科技创新中心和高水平人才高地建设，为实现高水平科技自立自强贡献青年力量</w:t>
      </w:r>
      <w:r>
        <w:rPr>
          <w:rFonts w:hint="default"/>
        </w:rPr>
        <w:t>。共青团中央书记处常务书记</w:t>
      </w:r>
      <w:r>
        <w:t>、</w:t>
      </w:r>
      <w:r>
        <w:rPr>
          <w:rFonts w:hint="default"/>
        </w:rPr>
        <w:t>全国青联主席徐晓</w:t>
      </w:r>
      <w:r>
        <w:t>，北京市委副书记、组织部部长游钧出席</w:t>
      </w:r>
      <w:r>
        <w:rPr>
          <w:rFonts w:hint="default"/>
        </w:rPr>
        <w:t>论坛活动并</w:t>
      </w:r>
      <w:r>
        <w:t>致辞。</w:t>
      </w:r>
      <w:r>
        <w:rPr>
          <w:rFonts w:hint="default"/>
        </w:rPr>
        <w:t>共青团中央</w:t>
      </w:r>
      <w:r>
        <w:rPr>
          <w:rFonts w:hAnsi="仿宋_GB2312" w:cs="仿宋_GB2312"/>
          <w:szCs w:val="32"/>
        </w:rPr>
        <w:t>统战部部长、全国青联秘书长赵博，中国科协科学技术传播中心副主任白元平，北京市委副秘书长孙文锴，北京市科学技术委员会、中关村科技园区管理委员会党组</w:t>
      </w:r>
      <w:r>
        <w:rPr>
          <w:rFonts w:hint="default" w:hAnsi="仿宋_GB2312" w:cs="仿宋_GB2312"/>
          <w:szCs w:val="32"/>
        </w:rPr>
        <w:t>成员、副主任</w:t>
      </w:r>
      <w:r>
        <w:rPr>
          <w:rFonts w:hAnsi="仿宋_GB2312" w:cs="仿宋_GB2312"/>
          <w:szCs w:val="32"/>
        </w:rPr>
        <w:t>，</w:t>
      </w:r>
      <w:r>
        <w:rPr>
          <w:rFonts w:hAnsi="仿宋_GB2312" w:cs="仿宋_GB2312"/>
          <w:szCs w:val="32"/>
          <w:highlight w:val="none"/>
        </w:rPr>
        <w:t>共青团北京市委员会副书记</w:t>
      </w:r>
      <w:r>
        <w:rPr>
          <w:rFonts w:hAnsi="仿宋_GB2312" w:cs="仿宋_GB2312"/>
          <w:szCs w:val="32"/>
        </w:rPr>
        <w:t>（兼）</w:t>
      </w:r>
      <w:r>
        <w:rPr>
          <w:rFonts w:hint="default" w:hAnsi="仿宋_GB2312" w:cs="仿宋_GB2312"/>
          <w:szCs w:val="32"/>
        </w:rPr>
        <w:t>龚维幂</w:t>
      </w:r>
      <w:r>
        <w:rPr>
          <w:rFonts w:hAnsi="仿宋_GB2312" w:cs="仿宋_GB2312"/>
          <w:szCs w:val="32"/>
        </w:rPr>
        <w:t>，</w:t>
      </w:r>
      <w:r>
        <w:rPr>
          <w:rFonts w:hAnsi="仿宋_GB2312" w:cs="仿宋_GB2312"/>
          <w:szCs w:val="32"/>
          <w:highlight w:val="none"/>
        </w:rPr>
        <w:t>共青团北京市委员会副书记</w:t>
      </w:r>
      <w:r>
        <w:rPr>
          <w:rFonts w:hint="eastAsia" w:hAnsi="仿宋_GB2312" w:cs="仿宋_GB2312"/>
          <w:szCs w:val="32"/>
          <w:highlight w:val="none"/>
          <w:lang w:eastAsia="zh-CN"/>
        </w:rPr>
        <w:t>、</w:t>
      </w:r>
      <w:r>
        <w:rPr>
          <w:rFonts w:hint="eastAsia" w:hAnsi="仿宋_GB2312" w:cs="仿宋_GB2312"/>
          <w:szCs w:val="32"/>
          <w:highlight w:val="none"/>
          <w:lang w:val="en-US" w:eastAsia="zh-CN"/>
        </w:rPr>
        <w:t>市青联副主席</w:t>
      </w:r>
      <w:r>
        <w:rPr>
          <w:rFonts w:hint="default" w:hAnsi="仿宋_GB2312" w:cs="仿宋_GB2312"/>
          <w:szCs w:val="32"/>
          <w:highlight w:val="none"/>
        </w:rPr>
        <w:t>王泰鹏</w:t>
      </w:r>
      <w:r>
        <w:rPr>
          <w:rFonts w:hint="eastAsia" w:hAnsi="仿宋_GB2312" w:cs="仿宋_GB2312"/>
          <w:szCs w:val="32"/>
          <w:highlight w:val="none"/>
          <w:lang w:eastAsia="zh-CN"/>
        </w:rPr>
        <w:t>，</w:t>
      </w:r>
      <w:r>
        <w:rPr>
          <w:rFonts w:hAnsi="仿宋_GB2312" w:cs="仿宋_GB2312"/>
          <w:szCs w:val="32"/>
          <w:highlight w:val="none"/>
        </w:rPr>
        <w:t>共青团北京市委员会副书记</w:t>
      </w:r>
      <w:r>
        <w:rPr>
          <w:rFonts w:hint="default" w:hAnsi="仿宋_GB2312" w:cs="仿宋_GB2312"/>
          <w:szCs w:val="32"/>
          <w:highlight w:val="none"/>
        </w:rPr>
        <w:t>丁蕾</w:t>
      </w:r>
      <w:r>
        <w:rPr>
          <w:rFonts w:hAnsi="仿宋_GB2312" w:cs="仿宋_GB2312"/>
          <w:szCs w:val="32"/>
          <w:highlight w:val="none"/>
        </w:rPr>
        <w:t>，</w:t>
      </w:r>
      <w:r>
        <w:rPr>
          <w:rFonts w:hAnsi="仿宋_GB2312" w:cs="仿宋_GB2312"/>
          <w:szCs w:val="32"/>
        </w:rPr>
        <w:t>北京市人才工作</w:t>
      </w:r>
      <w:r>
        <w:rPr>
          <w:rFonts w:hint="default" w:hAnsi="仿宋_GB2312" w:cs="仿宋_GB2312"/>
          <w:szCs w:val="32"/>
        </w:rPr>
        <w:t>局</w:t>
      </w:r>
      <w:r>
        <w:rPr>
          <w:rFonts w:hAnsi="仿宋_GB2312" w:cs="仿宋_GB2312"/>
          <w:szCs w:val="32"/>
        </w:rPr>
        <w:t>副局长</w:t>
      </w:r>
      <w:r>
        <w:rPr>
          <w:rFonts w:hint="default" w:hAnsi="仿宋_GB2312" w:cs="仿宋_GB2312"/>
          <w:szCs w:val="32"/>
        </w:rPr>
        <w:t>杨璞</w:t>
      </w:r>
      <w:r>
        <w:rPr>
          <w:rFonts w:hAnsi="仿宋_GB2312" w:cs="仿宋_GB2312"/>
          <w:szCs w:val="32"/>
        </w:rPr>
        <w:t>，</w:t>
      </w:r>
      <w:r>
        <w:rPr>
          <w:rFonts w:hint="eastAsia" w:hAnsi="仿宋_GB2312" w:cs="仿宋_GB2312"/>
          <w:szCs w:val="32"/>
          <w:lang w:val="en-US" w:eastAsia="zh-CN"/>
        </w:rPr>
        <w:t>北京市</w:t>
      </w:r>
      <w:r>
        <w:rPr>
          <w:rFonts w:hAnsi="仿宋_GB2312" w:cs="仿宋_GB2312"/>
          <w:szCs w:val="32"/>
        </w:rPr>
        <w:t>海淀区委常委、组织部部长肖丹，中关村发展集团副总经理、北京市青年科技人才协会秘书长周瑞</w:t>
      </w:r>
      <w:r>
        <w:t>等出席。有关院士专家、青年科技人才、中关村U30发起人、</w:t>
      </w:r>
      <w:r>
        <w:rPr>
          <w:rFonts w:hint="eastAsia"/>
          <w:lang w:val="en-US" w:eastAsia="zh-CN"/>
        </w:rPr>
        <w:t>2024年</w:t>
      </w:r>
      <w:r>
        <w:rPr>
          <w:rFonts w:hint="eastAsia"/>
          <w:lang w:val="zh-CN"/>
        </w:rPr>
        <w:t>中关村U30</w:t>
      </w:r>
      <w:r>
        <w:rPr>
          <w:rFonts w:hint="eastAsia"/>
          <w:lang w:val="en-US" w:eastAsia="zh-CN"/>
        </w:rPr>
        <w:t>大赛</w:t>
      </w:r>
      <w:r>
        <w:t>优胜者代表，市青科协会员代表等近150人参加本次论坛。</w:t>
      </w:r>
    </w:p>
    <w:p w14:paraId="1CFA10BC">
      <w:pPr>
        <w:pStyle w:val="10"/>
        <w:snapToGrid w:val="0"/>
        <w:ind w:firstLine="640"/>
      </w:pPr>
      <w:r>
        <w:rPr>
          <w:rFonts w:hint="default"/>
        </w:rPr>
        <w:t>徐晓指出，科技是第一生产力、人才是第一资源、创新是第一动力。青年科技人才要矢志服务国家战略，做科技强国建设的先锋，聚焦“四个面向”突破跨越；要深入推动原始创新，做科技自立自强的尖兵，在关键核心技术攻关、发展新质生产力中彰显青春作为；要着力促进交流互鉴，做科技开放合作的桥梁，提供青年智慧和中国方案；要积极投身科普教育，做播撒科学梦想的使者，面向青少年弘扬科学家精神、培育创新文化。各级共青团、青联、青科协组织要发挥桥梁纽带作用，深入实施新时代中国青年科技创新行动和共青团青年科技人才支持行动，搭建信息共通、资源共用、技术共创、价值共享的交流合作平台，推动成果转化，畅通举荐通道，引领广大青年科技人才与党同心跟党奋斗。</w:t>
      </w:r>
    </w:p>
    <w:p w14:paraId="541B91CD">
      <w:pPr>
        <w:pStyle w:val="10"/>
        <w:snapToGrid w:val="0"/>
        <w:ind w:firstLine="640"/>
        <w:rPr>
          <w:rFonts w:hint="default"/>
          <w:lang w:val="en-US" w:eastAsia="zh-CN"/>
        </w:rPr>
      </w:pPr>
      <w:r>
        <w:t>游钧表示，青年科技人才是我国科技创新发展的生力军。北京始终把人才作为创新发展的最强驱动、最强引擎，为青年科技人才在京发展提供最大诚意、最好资源、最优服务，识才范围不断扩大、爱才名片不断擦亮、助才措施不断完善。未来，北京将进一步营造有利于青年科技人才创新创业生态环境，在构建全方位、全要素、全周期的人才服务生态上用心用力，不断培育青年科研中坚力量，着力搭建国际合作交流桥梁。同时，持续强化科技奖励效能，增加杰出青年中关村奖授奖指标，对卓越成果与杰出人才予以重点表彰，为北京科技创新持续赋能。</w:t>
      </w:r>
    </w:p>
    <w:p w14:paraId="745BECFF">
      <w:pPr>
        <w:pStyle w:val="10"/>
        <w:snapToGrid w:val="0"/>
        <w:ind w:firstLine="640"/>
        <w:rPr>
          <w:rFonts w:hint="default"/>
        </w:rPr>
      </w:pPr>
      <w:r>
        <w:t>龚维幂介绍市科委、中关村管委会支持</w:t>
      </w:r>
      <w:r>
        <w:rPr>
          <w:rFonts w:hint="eastAsia"/>
          <w:lang w:val="en-US" w:eastAsia="zh-CN"/>
        </w:rPr>
        <w:t>和服务</w:t>
      </w:r>
      <w:r>
        <w:t>青年科技人才的相关政策。</w:t>
      </w:r>
      <w:r>
        <w:rPr>
          <w:rFonts w:hint="eastAsia"/>
        </w:rPr>
        <w:t>深化人才体制机制改革</w:t>
      </w:r>
      <w:r>
        <w:rPr>
          <w:rFonts w:hint="eastAsia"/>
          <w:lang w:eastAsia="zh-CN"/>
        </w:rPr>
        <w:t>，</w:t>
      </w:r>
      <w:r>
        <w:rPr>
          <w:rFonts w:hint="eastAsia"/>
          <w:lang w:val="en-US" w:eastAsia="zh-CN"/>
        </w:rPr>
        <w:t>支持青年科技人才挑大梁、担重任</w:t>
      </w:r>
      <w:r>
        <w:t>，</w:t>
      </w:r>
      <w:r>
        <w:rPr>
          <w:rFonts w:hint="eastAsia"/>
          <w:lang w:val="en-US" w:eastAsia="zh-CN"/>
        </w:rPr>
        <w:t>落实“放管服”改革政策，</w:t>
      </w:r>
      <w:r>
        <w:t>为科研人员松绑减负</w:t>
      </w:r>
      <w:r>
        <w:rPr>
          <w:rFonts w:hint="eastAsia"/>
          <w:lang w:eastAsia="zh-CN"/>
        </w:rPr>
        <w:t>。</w:t>
      </w:r>
      <w:r>
        <w:rPr>
          <w:rFonts w:hint="eastAsia"/>
        </w:rPr>
        <w:t>依托高能级创新平台和新型研发机构</w:t>
      </w:r>
      <w:r>
        <w:rPr>
          <w:rFonts w:hint="eastAsia"/>
          <w:lang w:eastAsia="zh-CN"/>
        </w:rPr>
        <w:t>，</w:t>
      </w:r>
      <w:r>
        <w:rPr>
          <w:rFonts w:hint="eastAsia"/>
        </w:rPr>
        <w:t>加大人才引进力度</w:t>
      </w:r>
      <w:r>
        <w:t>。加强青年科技人才培养，构建以本科生“启研”计划、自然科学基金青年项目、科技新星计划、北京市杰出青年中关村奖等为代表的，覆盖青年科技人才成长</w:t>
      </w:r>
      <w:r>
        <w:rPr>
          <w:rFonts w:hint="eastAsia"/>
          <w:lang w:eastAsia="zh-CN"/>
        </w:rPr>
        <w:t>“</w:t>
      </w:r>
      <w:r>
        <w:t>全链条</w:t>
      </w:r>
      <w:r>
        <w:rPr>
          <w:rFonts w:hint="eastAsia"/>
          <w:lang w:eastAsia="zh-CN"/>
        </w:rPr>
        <w:t>”“</w:t>
      </w:r>
      <w:r>
        <w:t>全过程</w:t>
      </w:r>
      <w:r>
        <w:rPr>
          <w:rFonts w:hint="eastAsia"/>
          <w:lang w:eastAsia="zh-CN"/>
        </w:rPr>
        <w:t>”“</w:t>
      </w:r>
      <w:r>
        <w:rPr>
          <w:rFonts w:hint="eastAsia"/>
          <w:lang w:val="en-US" w:eastAsia="zh-CN"/>
        </w:rPr>
        <w:t>全周期</w:t>
      </w:r>
      <w:r>
        <w:rPr>
          <w:rFonts w:hint="eastAsia"/>
          <w:lang w:eastAsia="zh-CN"/>
        </w:rPr>
        <w:t>”</w:t>
      </w:r>
      <w:r>
        <w:t>的支持和服务体系，筑牢北京人才竞争优势。</w:t>
      </w:r>
    </w:p>
    <w:p w14:paraId="22E53C4C">
      <w:pPr>
        <w:pStyle w:val="10"/>
        <w:snapToGrid w:val="0"/>
        <w:ind w:firstLine="640"/>
      </w:pPr>
      <w:r>
        <w:rPr>
          <w:rFonts w:hint="eastAsia"/>
        </w:rPr>
        <w:t>王泰鹏介绍共青团服务青年科技人才成长发展的相关政策。团市委通过实施“青凝计划”，聚焦四大方面服务青年人才成长。“成长领航”方面，通过国家治理青年人才培养计划等，培养爱国进步的引领者；“专业引航”方面，推荐优秀人才参与重要项目与人才计划评选，打造“挑战杯”、“中关村U30”等高水平平台；“结伴同航”方面，组织“火花科学青年思想会”等活动加强交流合作；“保驾护航”方面，依托社区青年汇等阵地提供子女托管、交友联谊等生活服务支持。</w:t>
      </w:r>
    </w:p>
    <w:p w14:paraId="600F7F6B">
      <w:pPr>
        <w:pStyle w:val="10"/>
        <w:snapToGrid w:val="0"/>
        <w:ind w:firstLine="640"/>
        <w:rPr>
          <w:rFonts w:hint="default"/>
        </w:rPr>
      </w:pPr>
    </w:p>
    <w:p w14:paraId="5ACBB890">
      <w:pPr>
        <w:pStyle w:val="10"/>
        <w:snapToGrid w:val="0"/>
        <w:spacing w:line="240" w:lineRule="auto"/>
        <w:ind w:firstLine="0" w:firstLineChars="0"/>
        <w:jc w:val="center"/>
        <w:rPr>
          <w:rFonts w:hint="default"/>
        </w:rPr>
      </w:pPr>
      <w:r>
        <w:drawing>
          <wp:inline distT="0" distB="0" distL="0" distR="0">
            <wp:extent cx="5274310" cy="3517900"/>
            <wp:effectExtent l="0" t="0" r="2540" b="6350"/>
            <wp:docPr id="6" name="图片 6" descr="D:\下载\ZD_07498-opq354769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下载\ZD_07498-opq35476983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518324"/>
                    </a:xfrm>
                    <a:prstGeom prst="rect">
                      <a:avLst/>
                    </a:prstGeom>
                    <a:noFill/>
                    <a:ln>
                      <a:noFill/>
                    </a:ln>
                  </pic:spPr>
                </pic:pic>
              </a:graphicData>
            </a:graphic>
          </wp:inline>
        </w:drawing>
      </w:r>
    </w:p>
    <w:p w14:paraId="452273B1">
      <w:pPr>
        <w:pStyle w:val="10"/>
        <w:snapToGrid w:val="0"/>
        <w:ind w:firstLine="0" w:firstLineChars="0"/>
        <w:jc w:val="center"/>
        <w:rPr>
          <w:rFonts w:hint="default"/>
          <w:lang w:val="en-US"/>
        </w:rPr>
      </w:pPr>
      <w:r>
        <w:rPr>
          <w:rFonts w:hint="eastAsia"/>
          <w:lang w:val="en-US" w:eastAsia="zh-CN"/>
        </w:rPr>
        <w:t>2025中关村U30启动仪式</w:t>
      </w:r>
    </w:p>
    <w:p w14:paraId="531C523D">
      <w:pPr>
        <w:pStyle w:val="10"/>
        <w:snapToGrid w:val="0"/>
        <w:ind w:firstLine="640"/>
      </w:pPr>
      <w:r>
        <w:t>随后，在中关村U30的发布和启动环节，</w:t>
      </w:r>
      <w:r>
        <w:rPr>
          <w:rFonts w:hint="default"/>
        </w:rPr>
        <w:t>回顾了中关村U30过去十年来的辉煌成就</w:t>
      </w:r>
      <w:r>
        <w:t>，科创人才梯队初具规模，硬科技领军企业引领行业标杆。随后中关村龙门投资董事长</w:t>
      </w:r>
      <w:r>
        <w:rPr>
          <w:rFonts w:hint="default"/>
        </w:rPr>
        <w:t>徐井宏发布2024年度30位优胜者榜单</w:t>
      </w:r>
      <w:r>
        <w:t>，并</w:t>
      </w:r>
      <w:r>
        <w:rPr>
          <w:rFonts w:hint="default"/>
        </w:rPr>
        <w:t>与</w:t>
      </w:r>
      <w:r>
        <w:t>多位领导和嘉宾</w:t>
      </w:r>
      <w:r>
        <w:rPr>
          <w:rFonts w:hint="default"/>
        </w:rPr>
        <w:t>为</w:t>
      </w:r>
      <w:r>
        <w:t>优胜者</w:t>
      </w:r>
      <w:r>
        <w:rPr>
          <w:rFonts w:hint="default"/>
        </w:rPr>
        <w:t>颁发了荣誉证书。</w:t>
      </w:r>
      <w:r>
        <w:t>此外，</w:t>
      </w:r>
      <w:r>
        <w:rPr>
          <w:rFonts w:hint="default"/>
        </w:rPr>
        <w:t>同步启动2025年度青年科技创业者招募</w:t>
      </w:r>
      <w:r>
        <w:t>，进一步聚焦高精尖招募青年“破壁者”。</w:t>
      </w:r>
    </w:p>
    <w:p w14:paraId="19081DAD">
      <w:pPr>
        <w:pStyle w:val="10"/>
        <w:snapToGrid w:val="0"/>
        <w:ind w:firstLine="640"/>
        <w:rPr>
          <w:rFonts w:hint="default"/>
        </w:rPr>
      </w:pPr>
    </w:p>
    <w:p w14:paraId="29D073E8">
      <w:pPr>
        <w:pStyle w:val="10"/>
        <w:snapToGrid w:val="0"/>
        <w:spacing w:line="240" w:lineRule="auto"/>
        <w:ind w:firstLine="0" w:firstLineChars="0"/>
        <w:jc w:val="center"/>
        <w:rPr>
          <w:rFonts w:hint="default"/>
        </w:rPr>
      </w:pPr>
      <w:r>
        <w:drawing>
          <wp:inline distT="0" distB="0" distL="0" distR="0">
            <wp:extent cx="5274310" cy="3515360"/>
            <wp:effectExtent l="0" t="0" r="2540" b="8890"/>
            <wp:docPr id="7" name="图片 7" descr="D:\下载\ZD_07640-opq354776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下载\ZD_07640-opq35477649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515421"/>
                    </a:xfrm>
                    <a:prstGeom prst="rect">
                      <a:avLst/>
                    </a:prstGeom>
                    <a:noFill/>
                    <a:ln>
                      <a:noFill/>
                    </a:ln>
                  </pic:spPr>
                </pic:pic>
              </a:graphicData>
            </a:graphic>
          </wp:inline>
        </w:drawing>
      </w:r>
    </w:p>
    <w:p w14:paraId="33E08608">
      <w:pPr>
        <w:pStyle w:val="10"/>
        <w:snapToGrid w:val="0"/>
        <w:ind w:firstLine="0" w:firstLineChars="0"/>
        <w:jc w:val="center"/>
        <w:rPr>
          <w:rFonts w:hint="default"/>
          <w:lang w:val="en-US" w:eastAsia="zh-CN"/>
        </w:rPr>
      </w:pPr>
      <w:r>
        <w:rPr>
          <w:rFonts w:hint="eastAsia"/>
          <w:lang w:val="en-US" w:eastAsia="zh-CN"/>
        </w:rPr>
        <w:t>北京</w:t>
      </w:r>
      <w:r>
        <w:rPr>
          <w:rFonts w:hint="eastAsia" w:ascii="仿宋_GB2312" w:eastAsia="仿宋_GB2312"/>
          <w:bCs/>
          <w:color w:val="000000"/>
          <w:sz w:val="32"/>
          <w:szCs w:val="32"/>
        </w:rPr>
        <w:t>雁栖湖</w:t>
      </w:r>
      <w:r>
        <w:rPr>
          <w:rFonts w:hint="eastAsia"/>
          <w:bCs/>
          <w:color w:val="000000"/>
          <w:sz w:val="32"/>
          <w:szCs w:val="32"/>
          <w:lang w:val="en-US" w:eastAsia="zh-CN"/>
        </w:rPr>
        <w:t>应用</w:t>
      </w:r>
      <w:r>
        <w:rPr>
          <w:rFonts w:hint="eastAsia" w:ascii="仿宋_GB2312" w:eastAsia="仿宋_GB2312"/>
          <w:bCs/>
          <w:color w:val="000000"/>
          <w:sz w:val="32"/>
          <w:szCs w:val="32"/>
        </w:rPr>
        <w:t>数学</w:t>
      </w:r>
      <w:r>
        <w:rPr>
          <w:rFonts w:hint="eastAsia"/>
          <w:bCs/>
          <w:color w:val="000000"/>
          <w:sz w:val="32"/>
          <w:szCs w:val="32"/>
          <w:lang w:val="en-US" w:eastAsia="zh-CN"/>
        </w:rPr>
        <w:t>研究院</w:t>
      </w:r>
      <w:r>
        <w:rPr>
          <w:rFonts w:hint="eastAsia" w:ascii="仿宋_GB2312" w:eastAsia="仿宋_GB2312"/>
          <w:bCs/>
          <w:color w:val="000000"/>
          <w:sz w:val="32"/>
          <w:szCs w:val="32"/>
        </w:rPr>
        <w:t>研究员，美国国家科学院外籍院士</w:t>
      </w:r>
      <w:r>
        <w:t>尤瓦尔·佩雷斯</w:t>
      </w:r>
    </w:p>
    <w:p w14:paraId="114CD07A">
      <w:pPr>
        <w:pStyle w:val="10"/>
        <w:snapToGrid w:val="0"/>
        <w:ind w:firstLine="0" w:firstLineChars="0"/>
        <w:jc w:val="center"/>
        <w:rPr>
          <w:rFonts w:hint="default"/>
          <w:lang w:val="en-US" w:eastAsia="zh-CN"/>
        </w:rPr>
      </w:pPr>
    </w:p>
    <w:p w14:paraId="5672D0FE">
      <w:pPr>
        <w:pStyle w:val="10"/>
        <w:snapToGrid w:val="0"/>
        <w:spacing w:line="240" w:lineRule="auto"/>
        <w:ind w:firstLine="0" w:firstLineChars="0"/>
        <w:jc w:val="center"/>
        <w:rPr>
          <w:rFonts w:hint="default"/>
        </w:rPr>
      </w:pPr>
      <w:r>
        <w:drawing>
          <wp:inline distT="0" distB="0" distL="0" distR="0">
            <wp:extent cx="5274310" cy="3514725"/>
            <wp:effectExtent l="0" t="0" r="2540" b="9525"/>
            <wp:docPr id="8" name="图片 8" descr="D:\下载\ZD_07710-opq354786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下载\ZD_07710-opq35478632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5319"/>
                    </a:xfrm>
                    <a:prstGeom prst="rect">
                      <a:avLst/>
                    </a:prstGeom>
                    <a:noFill/>
                    <a:ln>
                      <a:noFill/>
                    </a:ln>
                  </pic:spPr>
                </pic:pic>
              </a:graphicData>
            </a:graphic>
          </wp:inline>
        </w:drawing>
      </w:r>
    </w:p>
    <w:p w14:paraId="7C2688B5">
      <w:pPr>
        <w:pStyle w:val="10"/>
        <w:snapToGrid w:val="0"/>
        <w:ind w:firstLine="0" w:firstLineChars="0"/>
        <w:jc w:val="center"/>
      </w:pPr>
      <w:r>
        <w:rPr>
          <w:rFonts w:hint="eastAsia" w:ascii="仿宋_GB2312" w:eastAsia="仿宋_GB2312"/>
          <w:bCs/>
          <w:color w:val="000000"/>
          <w:sz w:val="32"/>
          <w:szCs w:val="32"/>
        </w:rPr>
        <w:t>中国科学院</w:t>
      </w:r>
      <w:r>
        <w:rPr>
          <w:rFonts w:ascii="仿宋_GB2312" w:eastAsia="仿宋_GB2312"/>
          <w:bCs/>
          <w:color w:val="000000"/>
          <w:sz w:val="32"/>
          <w:szCs w:val="32"/>
        </w:rPr>
        <w:t>生态环境研究中心研究员，</w:t>
      </w:r>
      <w:r>
        <w:rPr>
          <w:rFonts w:hint="eastAsia" w:ascii="仿宋_GB2312" w:eastAsia="仿宋_GB2312"/>
          <w:bCs/>
          <w:color w:val="000000"/>
          <w:sz w:val="32"/>
          <w:szCs w:val="32"/>
        </w:rPr>
        <w:t>“长城友谊奖”获奖者</w:t>
      </w:r>
      <w:r>
        <w:t>费凡</w:t>
      </w:r>
    </w:p>
    <w:p w14:paraId="19D8C440">
      <w:pPr>
        <w:pStyle w:val="10"/>
        <w:snapToGrid w:val="0"/>
        <w:ind w:firstLine="0" w:firstLineChars="0"/>
        <w:jc w:val="center"/>
        <w:rPr>
          <w:rFonts w:hint="default"/>
          <w:lang w:val="en-US" w:eastAsia="zh-CN"/>
        </w:rPr>
      </w:pPr>
    </w:p>
    <w:p w14:paraId="1A11577E">
      <w:pPr>
        <w:pStyle w:val="10"/>
        <w:snapToGrid w:val="0"/>
        <w:spacing w:line="240" w:lineRule="auto"/>
        <w:ind w:firstLine="0" w:firstLineChars="0"/>
        <w:jc w:val="center"/>
        <w:rPr>
          <w:rFonts w:hint="default"/>
        </w:rPr>
      </w:pPr>
      <w:r>
        <w:drawing>
          <wp:inline distT="0" distB="0" distL="0" distR="0">
            <wp:extent cx="5274310" cy="3515995"/>
            <wp:effectExtent l="0" t="0" r="2540" b="8255"/>
            <wp:docPr id="9" name="图片 9" descr="D:\下载\ZD_07734-opq354786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下载\ZD_07734-opq35478635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14:paraId="6319A63C">
      <w:pPr>
        <w:pStyle w:val="10"/>
        <w:snapToGrid w:val="0"/>
        <w:ind w:firstLine="0" w:firstLineChars="0"/>
        <w:jc w:val="center"/>
      </w:pPr>
      <w:r>
        <w:rPr>
          <w:rFonts w:hint="eastAsia" w:ascii="仿宋_GB2312" w:eastAsia="仿宋_GB2312"/>
          <w:bCs/>
          <w:color w:val="000000"/>
          <w:sz w:val="32"/>
          <w:szCs w:val="32"/>
        </w:rPr>
        <w:t>北京大学党委常委、常务副校长</w:t>
      </w:r>
      <w:r>
        <w:rPr>
          <w:rFonts w:hint="eastAsia"/>
          <w:bCs/>
          <w:color w:val="000000"/>
          <w:sz w:val="32"/>
          <w:szCs w:val="32"/>
          <w:lang w:eastAsia="zh-CN"/>
        </w:rPr>
        <w:t>，</w:t>
      </w:r>
      <w:r>
        <w:rPr>
          <w:rFonts w:hint="eastAsia" w:ascii="仿宋_GB2312" w:eastAsia="仿宋_GB2312"/>
          <w:bCs/>
          <w:color w:val="000000"/>
          <w:sz w:val="32"/>
          <w:szCs w:val="32"/>
        </w:rPr>
        <w:t>医学部主任</w:t>
      </w:r>
      <w:r>
        <w:rPr>
          <w:rFonts w:hint="eastAsia"/>
          <w:bCs/>
          <w:color w:val="000000"/>
          <w:sz w:val="32"/>
          <w:szCs w:val="32"/>
          <w:lang w:eastAsia="zh-CN"/>
        </w:rPr>
        <w:t>，</w:t>
      </w:r>
      <w:r>
        <w:rPr>
          <w:rFonts w:hint="eastAsia" w:ascii="仿宋_GB2312" w:eastAsia="仿宋_GB2312"/>
          <w:bCs/>
          <w:color w:val="000000"/>
          <w:sz w:val="32"/>
          <w:szCs w:val="32"/>
        </w:rPr>
        <w:t>中国工程院院士</w:t>
      </w:r>
      <w:r>
        <w:t>乔杰</w:t>
      </w:r>
    </w:p>
    <w:p w14:paraId="71E05627">
      <w:pPr>
        <w:pStyle w:val="10"/>
        <w:snapToGrid w:val="0"/>
        <w:ind w:firstLine="0" w:firstLineChars="0"/>
        <w:jc w:val="center"/>
        <w:rPr>
          <w:rFonts w:hint="default"/>
          <w:lang w:val="en-US" w:eastAsia="zh-CN"/>
        </w:rPr>
      </w:pPr>
    </w:p>
    <w:p w14:paraId="46E8FACE">
      <w:pPr>
        <w:pStyle w:val="10"/>
        <w:snapToGrid w:val="0"/>
        <w:ind w:firstLine="640"/>
        <w:rPr>
          <w:rFonts w:eastAsia="宋体"/>
        </w:rPr>
      </w:pPr>
      <w:r>
        <w:t>在主旨演讲环节，三位权威专家带来了精彩纷呈的分享。被誉为“公式诗人”的</w:t>
      </w:r>
      <w:r>
        <w:rPr>
          <w:rFonts w:hint="eastAsia"/>
          <w:lang w:val="en-US" w:eastAsia="zh-CN"/>
        </w:rPr>
        <w:t>北京</w:t>
      </w:r>
      <w:r>
        <w:rPr>
          <w:rFonts w:hint="eastAsia" w:ascii="仿宋_GB2312" w:eastAsia="仿宋_GB2312"/>
          <w:bCs/>
          <w:color w:val="000000"/>
          <w:sz w:val="32"/>
          <w:szCs w:val="32"/>
        </w:rPr>
        <w:t>雁栖湖</w:t>
      </w:r>
      <w:r>
        <w:rPr>
          <w:rFonts w:hint="eastAsia"/>
          <w:bCs/>
          <w:color w:val="000000"/>
          <w:sz w:val="32"/>
          <w:szCs w:val="32"/>
          <w:lang w:val="en-US" w:eastAsia="zh-CN"/>
        </w:rPr>
        <w:t>应用</w:t>
      </w:r>
      <w:r>
        <w:rPr>
          <w:rFonts w:hint="eastAsia" w:ascii="仿宋_GB2312" w:eastAsia="仿宋_GB2312"/>
          <w:bCs/>
          <w:color w:val="000000"/>
          <w:sz w:val="32"/>
          <w:szCs w:val="32"/>
        </w:rPr>
        <w:t>数学</w:t>
      </w:r>
      <w:r>
        <w:rPr>
          <w:rFonts w:hint="eastAsia"/>
          <w:bCs/>
          <w:color w:val="000000"/>
          <w:sz w:val="32"/>
          <w:szCs w:val="32"/>
          <w:lang w:val="en-US" w:eastAsia="zh-CN"/>
        </w:rPr>
        <w:t>研究院</w:t>
      </w:r>
      <w:r>
        <w:rPr>
          <w:rFonts w:hint="eastAsia" w:ascii="仿宋_GB2312" w:eastAsia="仿宋_GB2312"/>
          <w:bCs/>
          <w:color w:val="000000"/>
          <w:sz w:val="32"/>
          <w:szCs w:val="32"/>
        </w:rPr>
        <w:t>研究员，美国国家科学院外籍院士</w:t>
      </w:r>
      <w:r>
        <w:t>尤瓦尔·佩雷斯建议青年人才从简单问题开始建立自信，并通过国际合作取得最佳进展；</w:t>
      </w:r>
      <w:r>
        <w:rPr>
          <w:rFonts w:hint="eastAsia" w:ascii="仿宋_GB2312" w:eastAsia="仿宋_GB2312"/>
          <w:bCs/>
          <w:color w:val="000000"/>
          <w:sz w:val="32"/>
          <w:szCs w:val="32"/>
        </w:rPr>
        <w:t>中国科学院</w:t>
      </w:r>
      <w:r>
        <w:rPr>
          <w:rFonts w:ascii="仿宋_GB2312" w:eastAsia="仿宋_GB2312"/>
          <w:bCs/>
          <w:color w:val="000000"/>
          <w:sz w:val="32"/>
          <w:szCs w:val="32"/>
        </w:rPr>
        <w:t>生态环境研究中心研究员，</w:t>
      </w:r>
      <w:r>
        <w:rPr>
          <w:rFonts w:hint="eastAsia" w:ascii="仿宋_GB2312" w:eastAsia="仿宋_GB2312"/>
          <w:bCs/>
          <w:color w:val="000000"/>
          <w:sz w:val="32"/>
          <w:szCs w:val="32"/>
        </w:rPr>
        <w:t>“长城友谊奖”获奖者</w:t>
      </w:r>
      <w:r>
        <w:t>费凡建议青年科技人才关注国家政策导向、建立跨学科交叉培养机制、拓展国际视野以应对全球性挑战；</w:t>
      </w:r>
      <w:r>
        <w:rPr>
          <w:rFonts w:hint="eastAsia" w:ascii="仿宋_GB2312" w:eastAsia="仿宋_GB2312"/>
          <w:bCs/>
          <w:color w:val="000000"/>
          <w:sz w:val="32"/>
          <w:szCs w:val="32"/>
        </w:rPr>
        <w:t>北京大学党委常委、常务副校长</w:t>
      </w:r>
      <w:r>
        <w:rPr>
          <w:rFonts w:hint="eastAsia"/>
          <w:bCs/>
          <w:color w:val="000000"/>
          <w:sz w:val="32"/>
          <w:szCs w:val="32"/>
          <w:lang w:eastAsia="zh-CN"/>
        </w:rPr>
        <w:t>，</w:t>
      </w:r>
      <w:r>
        <w:rPr>
          <w:rFonts w:hint="eastAsia" w:ascii="仿宋_GB2312" w:eastAsia="仿宋_GB2312"/>
          <w:bCs/>
          <w:color w:val="000000"/>
          <w:sz w:val="32"/>
          <w:szCs w:val="32"/>
        </w:rPr>
        <w:t>医学部主任</w:t>
      </w:r>
      <w:r>
        <w:rPr>
          <w:rFonts w:hint="eastAsia"/>
          <w:bCs/>
          <w:color w:val="000000"/>
          <w:sz w:val="32"/>
          <w:szCs w:val="32"/>
          <w:lang w:eastAsia="zh-CN"/>
        </w:rPr>
        <w:t>，</w:t>
      </w:r>
      <w:r>
        <w:rPr>
          <w:rFonts w:hint="eastAsia" w:ascii="仿宋_GB2312" w:eastAsia="仿宋_GB2312"/>
          <w:bCs/>
          <w:color w:val="000000"/>
          <w:sz w:val="32"/>
          <w:szCs w:val="32"/>
        </w:rPr>
        <w:t>中国工程院院士</w:t>
      </w:r>
      <w:r>
        <w:t>乔杰建议给予青年人才启动资金、团队支持、学术交流机会等，助力青年科技人才稳健起步与持续发展</w:t>
      </w:r>
      <w:r>
        <w:rPr>
          <w:rFonts w:eastAsia="宋体"/>
        </w:rPr>
        <w:t>。</w:t>
      </w:r>
    </w:p>
    <w:p w14:paraId="4F41F731">
      <w:pPr>
        <w:pStyle w:val="10"/>
        <w:snapToGrid w:val="0"/>
        <w:ind w:firstLine="640"/>
        <w:rPr>
          <w:rFonts w:hint="default" w:eastAsia="宋体"/>
        </w:rPr>
      </w:pPr>
    </w:p>
    <w:p w14:paraId="2D1E4AD5">
      <w:pPr>
        <w:pStyle w:val="10"/>
        <w:snapToGrid w:val="0"/>
        <w:spacing w:line="240" w:lineRule="auto"/>
        <w:ind w:firstLine="0" w:firstLineChars="0"/>
        <w:jc w:val="center"/>
        <w:rPr>
          <w:rFonts w:hint="eastAsia"/>
          <w:lang w:val="en-US" w:eastAsia="zh-CN"/>
        </w:rPr>
      </w:pPr>
      <w:r>
        <w:drawing>
          <wp:inline distT="0" distB="0" distL="0" distR="0">
            <wp:extent cx="5273675" cy="3514725"/>
            <wp:effectExtent l="0" t="0" r="3175" b="9525"/>
            <wp:docPr id="11" name="图片 11" descr="D:\下载\ZD_07781-opq354795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下载\ZD_07781-opq35479523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000" cy="3515079"/>
                    </a:xfrm>
                    <a:prstGeom prst="rect">
                      <a:avLst/>
                    </a:prstGeom>
                    <a:noFill/>
                    <a:ln>
                      <a:noFill/>
                    </a:ln>
                  </pic:spPr>
                </pic:pic>
              </a:graphicData>
            </a:graphic>
          </wp:inline>
        </w:drawing>
      </w:r>
      <w:r>
        <w:rPr>
          <w:rFonts w:hint="eastAsia" w:ascii="仿宋_GB2312" w:eastAsia="仿宋_GB2312" w:cs="Times New Roman"/>
          <w:bCs/>
          <w:color w:val="000000"/>
          <w:sz w:val="32"/>
          <w:szCs w:val="32"/>
        </w:rPr>
        <w:t>北京航空航天大学宇航学院教授，神舟十六号乘组航天员</w:t>
      </w:r>
      <w:r>
        <w:rPr>
          <w:rFonts w:hint="eastAsia"/>
          <w:lang w:val="en-US" w:eastAsia="zh-CN"/>
        </w:rPr>
        <w:t>桂海潮</w:t>
      </w:r>
    </w:p>
    <w:p w14:paraId="2B561AEC">
      <w:pPr>
        <w:pStyle w:val="10"/>
        <w:snapToGrid w:val="0"/>
        <w:spacing w:line="240" w:lineRule="auto"/>
        <w:ind w:firstLine="0" w:firstLineChars="0"/>
        <w:jc w:val="center"/>
        <w:rPr>
          <w:rFonts w:hint="default"/>
          <w:lang w:val="en-US" w:eastAsia="zh-CN"/>
        </w:rPr>
      </w:pPr>
    </w:p>
    <w:p w14:paraId="4F1E96AE">
      <w:pPr>
        <w:pStyle w:val="10"/>
        <w:snapToGrid w:val="0"/>
        <w:spacing w:line="240" w:lineRule="auto"/>
        <w:ind w:firstLine="0" w:firstLineChars="0"/>
        <w:rPr>
          <w:rFonts w:hint="default"/>
        </w:rPr>
      </w:pPr>
      <w:r>
        <w:drawing>
          <wp:inline distT="0" distB="0" distL="0" distR="0">
            <wp:extent cx="5273675" cy="3515360"/>
            <wp:effectExtent l="0" t="0" r="3175" b="8890"/>
            <wp:docPr id="12" name="图片 12" descr="D:\下载\ZD_07825-opq354798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下载\ZD_07825-opq3547983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000" cy="3515908"/>
                    </a:xfrm>
                    <a:prstGeom prst="rect">
                      <a:avLst/>
                    </a:prstGeom>
                    <a:noFill/>
                    <a:ln>
                      <a:noFill/>
                    </a:ln>
                  </pic:spPr>
                </pic:pic>
              </a:graphicData>
            </a:graphic>
          </wp:inline>
        </w:drawing>
      </w:r>
    </w:p>
    <w:p w14:paraId="57C618FC">
      <w:pPr>
        <w:pStyle w:val="10"/>
        <w:snapToGrid w:val="0"/>
        <w:ind w:firstLine="0" w:firstLineChars="0"/>
        <w:jc w:val="center"/>
      </w:pPr>
      <w:r>
        <w:rPr>
          <w:rFonts w:hint="eastAsia" w:ascii="仿宋_GB2312" w:eastAsia="仿宋_GB2312" w:cs="Times New Roman"/>
          <w:bCs/>
          <w:color w:val="000000"/>
          <w:sz w:val="32"/>
          <w:szCs w:val="32"/>
        </w:rPr>
        <w:t>中科寒武纪科技股份有限公司董事长</w:t>
      </w:r>
      <w:r>
        <w:rPr>
          <w:rFonts w:hint="eastAsia" w:cs="Times New Roman"/>
          <w:bCs/>
          <w:color w:val="000000"/>
          <w:sz w:val="32"/>
          <w:szCs w:val="32"/>
          <w:lang w:eastAsia="zh-CN"/>
        </w:rPr>
        <w:t>、</w:t>
      </w:r>
      <w:r>
        <w:rPr>
          <w:rFonts w:hint="eastAsia" w:cs="Times New Roman"/>
          <w:bCs/>
          <w:color w:val="000000"/>
          <w:sz w:val="32"/>
          <w:szCs w:val="32"/>
          <w:lang w:val="en-US" w:eastAsia="zh-CN"/>
        </w:rPr>
        <w:t>总经理</w:t>
      </w:r>
      <w:r>
        <w:t>陈天石</w:t>
      </w:r>
    </w:p>
    <w:p w14:paraId="2B51DEE4">
      <w:pPr>
        <w:pStyle w:val="1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rPr>
      </w:pPr>
      <w:r>
        <w:drawing>
          <wp:inline distT="0" distB="0" distL="0" distR="0">
            <wp:extent cx="5273675" cy="3513455"/>
            <wp:effectExtent l="0" t="0" r="3175" b="0"/>
            <wp:docPr id="13" name="图片 13" descr="D:\下载\ZD_07903-opq354806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下载\ZD_07903-opq3548064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000" cy="3513870"/>
                    </a:xfrm>
                    <a:prstGeom prst="rect">
                      <a:avLst/>
                    </a:prstGeom>
                    <a:noFill/>
                    <a:ln>
                      <a:noFill/>
                    </a:ln>
                  </pic:spPr>
                </pic:pic>
              </a:graphicData>
            </a:graphic>
          </wp:inline>
        </w:drawing>
      </w:r>
    </w:p>
    <w:p w14:paraId="68970016">
      <w:pPr>
        <w:pStyle w:val="10"/>
        <w:snapToGrid w:val="0"/>
        <w:ind w:firstLine="0" w:firstLineChars="0"/>
        <w:jc w:val="center"/>
        <w:rPr>
          <w:rFonts w:hint="eastAsia"/>
          <w:lang w:val="en-US" w:eastAsia="zh-CN"/>
        </w:rPr>
      </w:pPr>
      <w:r>
        <w:rPr>
          <w:rFonts w:hint="eastAsia" w:ascii="仿宋_GB2312" w:eastAsia="仿宋_GB2312" w:cs="Times New Roman"/>
          <w:bCs/>
          <w:color w:val="000000"/>
          <w:sz w:val="32"/>
          <w:szCs w:val="32"/>
        </w:rPr>
        <w:t>北京生命科学研究所研究员</w:t>
      </w:r>
      <w:r>
        <w:t>徐纯福</w:t>
      </w:r>
    </w:p>
    <w:p w14:paraId="4BB2BC69">
      <w:pPr>
        <w:pStyle w:val="10"/>
        <w:snapToGrid w:val="0"/>
        <w:ind w:firstLine="0" w:firstLineChars="0"/>
        <w:jc w:val="center"/>
        <w:rPr>
          <w:rFonts w:hint="default"/>
          <w:lang w:val="en-US" w:eastAsia="zh-CN"/>
        </w:rPr>
      </w:pPr>
    </w:p>
    <w:p w14:paraId="0746DE99">
      <w:pPr>
        <w:pStyle w:val="10"/>
        <w:snapToGrid w:val="0"/>
        <w:spacing w:line="240" w:lineRule="auto"/>
        <w:ind w:firstLine="0" w:firstLineChars="0"/>
        <w:rPr>
          <w:rFonts w:hint="default"/>
        </w:rPr>
      </w:pPr>
      <w:r>
        <w:drawing>
          <wp:inline distT="0" distB="0" distL="0" distR="0">
            <wp:extent cx="5273675" cy="3514725"/>
            <wp:effectExtent l="0" t="0" r="3175" b="9525"/>
            <wp:docPr id="14" name="图片 14" descr="D:\下载\ZD_07980-opq354807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下载\ZD_07980-opq35480787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000" cy="3515264"/>
                    </a:xfrm>
                    <a:prstGeom prst="rect">
                      <a:avLst/>
                    </a:prstGeom>
                    <a:noFill/>
                    <a:ln>
                      <a:noFill/>
                    </a:ln>
                  </pic:spPr>
                </pic:pic>
              </a:graphicData>
            </a:graphic>
          </wp:inline>
        </w:drawing>
      </w:r>
    </w:p>
    <w:p w14:paraId="2E5DF9EF">
      <w:pPr>
        <w:pStyle w:val="10"/>
        <w:snapToGrid w:val="0"/>
        <w:ind w:firstLine="0" w:firstLineChars="0"/>
        <w:jc w:val="center"/>
        <w:rPr>
          <w:rFonts w:hint="default" w:eastAsia="仿宋_GB2312"/>
          <w:lang w:val="en-US" w:eastAsia="zh-CN"/>
        </w:rPr>
      </w:pPr>
      <w:r>
        <w:rPr>
          <w:rFonts w:hint="eastAsia" w:ascii="仿宋_GB2312" w:eastAsia="仿宋_GB2312" w:cs="Times New Roman"/>
          <w:bCs/>
          <w:color w:val="000000"/>
          <w:sz w:val="32"/>
          <w:szCs w:val="32"/>
        </w:rPr>
        <w:t>北京清航紫荆装备科技有限公司董事长</w:t>
      </w:r>
      <w:r>
        <w:t>李京阳</w:t>
      </w:r>
    </w:p>
    <w:p w14:paraId="38BA6D36">
      <w:pPr>
        <w:pStyle w:val="10"/>
        <w:snapToGrid w:val="0"/>
        <w:spacing w:line="240" w:lineRule="auto"/>
        <w:ind w:firstLine="0" w:firstLineChars="0"/>
        <w:rPr>
          <w:rFonts w:hint="default"/>
        </w:rPr>
      </w:pPr>
      <w:r>
        <w:drawing>
          <wp:inline distT="0" distB="0" distL="0" distR="0">
            <wp:extent cx="5273675" cy="3516630"/>
            <wp:effectExtent l="0" t="0" r="3175" b="7620"/>
            <wp:docPr id="10" name="图片 10" descr="D:\下载\ZD_07996-opq354813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下载\ZD_07996-opq3548136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000" cy="3516765"/>
                    </a:xfrm>
                    <a:prstGeom prst="rect">
                      <a:avLst/>
                    </a:prstGeom>
                    <a:noFill/>
                    <a:ln>
                      <a:noFill/>
                    </a:ln>
                  </pic:spPr>
                </pic:pic>
              </a:graphicData>
            </a:graphic>
          </wp:inline>
        </w:drawing>
      </w:r>
    </w:p>
    <w:p w14:paraId="0CE87CEE">
      <w:pPr>
        <w:pStyle w:val="10"/>
        <w:snapToGrid w:val="0"/>
        <w:ind w:firstLine="0" w:firstLineChars="0"/>
        <w:jc w:val="center"/>
        <w:rPr>
          <w:rFonts w:hint="default" w:eastAsia="仿宋_GB2312"/>
          <w:lang w:val="en-US" w:eastAsia="zh-CN"/>
        </w:rPr>
      </w:pPr>
      <w:r>
        <w:rPr>
          <w:rFonts w:hint="eastAsia" w:ascii="仿宋_GB2312" w:eastAsia="仿宋_GB2312" w:cs="Times New Roman"/>
          <w:bCs/>
          <w:color w:val="000000"/>
          <w:sz w:val="32"/>
          <w:szCs w:val="32"/>
        </w:rPr>
        <w:t>中国科学院</w:t>
      </w:r>
      <w:r>
        <w:rPr>
          <w:rFonts w:ascii="仿宋_GB2312" w:eastAsia="仿宋_GB2312" w:cs="Times New Roman"/>
          <w:bCs/>
          <w:color w:val="000000"/>
          <w:sz w:val="32"/>
          <w:szCs w:val="32"/>
        </w:rPr>
        <w:t>高能物理研究所</w:t>
      </w:r>
      <w:r>
        <w:rPr>
          <w:rFonts w:hint="eastAsia" w:ascii="仿宋_GB2312" w:eastAsia="仿宋_GB2312" w:cs="Times New Roman"/>
          <w:bCs/>
          <w:color w:val="000000"/>
          <w:sz w:val="32"/>
          <w:szCs w:val="32"/>
        </w:rPr>
        <w:t>博士后</w:t>
      </w:r>
      <w:r>
        <w:t>白子鸣</w:t>
      </w:r>
    </w:p>
    <w:p w14:paraId="66862E8D">
      <w:pPr>
        <w:pStyle w:val="10"/>
        <w:snapToGrid w:val="0"/>
        <w:ind w:firstLine="640"/>
        <w:rPr>
          <w:rFonts w:hint="default"/>
        </w:rPr>
      </w:pPr>
      <w:r>
        <w:t>论坛还设置了“创新青年说”环节，五位来自不同领域的青年科学家和企业家进行深度交流。</w:t>
      </w:r>
      <w:r>
        <w:rPr>
          <w:rFonts w:hint="eastAsia" w:ascii="仿宋_GB2312" w:eastAsia="仿宋_GB2312" w:cs="Times New Roman"/>
          <w:bCs/>
          <w:color w:val="000000"/>
          <w:sz w:val="32"/>
          <w:szCs w:val="32"/>
        </w:rPr>
        <w:t>北京航空航天大学宇航学院教授，神舟十六号乘组航天员</w:t>
      </w:r>
      <w:r>
        <w:t>桂海潮鼓励青年科研人才将兴趣与国家需求结合，勇于担当科技创新使命；</w:t>
      </w:r>
      <w:r>
        <w:rPr>
          <w:rFonts w:hint="eastAsia" w:ascii="仿宋_GB2312" w:eastAsia="仿宋_GB2312" w:cs="Times New Roman"/>
          <w:bCs/>
          <w:color w:val="000000"/>
          <w:sz w:val="32"/>
          <w:szCs w:val="32"/>
        </w:rPr>
        <w:t>中科寒武纪科技股份有限公司董事长</w:t>
      </w:r>
      <w:r>
        <w:rPr>
          <w:rFonts w:hint="eastAsia" w:cs="Times New Roman"/>
          <w:bCs/>
          <w:color w:val="000000"/>
          <w:sz w:val="32"/>
          <w:szCs w:val="32"/>
          <w:lang w:eastAsia="zh-CN"/>
        </w:rPr>
        <w:t>、</w:t>
      </w:r>
      <w:r>
        <w:rPr>
          <w:rFonts w:hint="eastAsia" w:cs="Times New Roman"/>
          <w:bCs/>
          <w:color w:val="000000"/>
          <w:sz w:val="32"/>
          <w:szCs w:val="32"/>
          <w:lang w:val="en-US" w:eastAsia="zh-CN"/>
        </w:rPr>
        <w:t>总经理</w:t>
      </w:r>
      <w:r>
        <w:t>陈天石表示人才培养需从有监督学习过渡到自由探索，重视科学理想的传承，并建议青年学会自我减压、自由科研；</w:t>
      </w:r>
      <w:r>
        <w:rPr>
          <w:rFonts w:hint="eastAsia" w:ascii="仿宋_GB2312" w:eastAsia="仿宋_GB2312" w:cs="Times New Roman"/>
          <w:bCs/>
          <w:color w:val="000000"/>
          <w:sz w:val="32"/>
          <w:szCs w:val="32"/>
        </w:rPr>
        <w:t>北京生命科学研究所研究员</w:t>
      </w:r>
      <w:r>
        <w:t>徐纯福提出科学探索的三重维度，平衡生活与科研，秉持严谨态度，在热爱领域自由探索；</w:t>
      </w:r>
      <w:r>
        <w:rPr>
          <w:rFonts w:hint="eastAsia" w:ascii="仿宋_GB2312" w:eastAsia="仿宋_GB2312" w:cs="Times New Roman"/>
          <w:bCs/>
          <w:color w:val="000000"/>
          <w:sz w:val="32"/>
          <w:szCs w:val="32"/>
        </w:rPr>
        <w:t>北京清航紫荆装备科技有限公司董事长</w:t>
      </w:r>
      <w:r>
        <w:t>李京阳建议青年科技人才投身创新创业，结合国家需求与个人专长，勇于突破技术瓶颈；</w:t>
      </w:r>
      <w:r>
        <w:rPr>
          <w:rFonts w:hint="eastAsia" w:ascii="仿宋_GB2312" w:eastAsia="仿宋_GB2312" w:cs="Times New Roman"/>
          <w:bCs/>
          <w:color w:val="000000"/>
          <w:sz w:val="32"/>
          <w:szCs w:val="32"/>
        </w:rPr>
        <w:t>中国科学院</w:t>
      </w:r>
      <w:r>
        <w:rPr>
          <w:rFonts w:ascii="仿宋_GB2312" w:eastAsia="仿宋_GB2312" w:cs="Times New Roman"/>
          <w:bCs/>
          <w:color w:val="000000"/>
          <w:sz w:val="32"/>
          <w:szCs w:val="32"/>
        </w:rPr>
        <w:t>高能物理研究所</w:t>
      </w:r>
      <w:r>
        <w:rPr>
          <w:rFonts w:hint="eastAsia" w:ascii="仿宋_GB2312" w:eastAsia="仿宋_GB2312" w:cs="Times New Roman"/>
          <w:bCs/>
          <w:color w:val="000000"/>
          <w:sz w:val="32"/>
          <w:szCs w:val="32"/>
        </w:rPr>
        <w:t>博士后</w:t>
      </w:r>
      <w:r>
        <w:t>白子鸣认为时间和外界支持对年轻科学家至关重要，呼吁给予年轻人更多探索和失败的机会。</w:t>
      </w:r>
    </w:p>
    <w:p w14:paraId="42389361">
      <w:pPr>
        <w:pStyle w:val="10"/>
        <w:snapToGrid w:val="0"/>
        <w:ind w:firstLine="640"/>
        <w:rPr>
          <w:rFonts w:hint="default"/>
        </w:rPr>
      </w:pPr>
      <w:r>
        <w:t>本次论坛由市科委、中关村管委会，市人才工作局，团市委</w:t>
      </w:r>
      <w:r>
        <w:rPr>
          <w:rFonts w:hint="default"/>
        </w:rPr>
        <w:t>主办</w:t>
      </w:r>
      <w:r>
        <w:t>，市奖励办</w:t>
      </w:r>
      <w:r>
        <w:rPr>
          <w:rFonts w:hint="default"/>
        </w:rPr>
        <w:t>、</w:t>
      </w:r>
      <w:r>
        <w:t>市</w:t>
      </w:r>
      <w:r>
        <w:rPr>
          <w:rFonts w:hint="default"/>
        </w:rPr>
        <w:t>青科协</w:t>
      </w:r>
      <w:r>
        <w:t>承办。</w:t>
      </w:r>
    </w:p>
    <w:p w14:paraId="67C9E931">
      <w:pPr>
        <w:pStyle w:val="10"/>
        <w:snapToGrid w:val="0"/>
        <w:ind w:firstLine="640"/>
        <w:rPr>
          <w:rFonts w:hint="default"/>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0F143">
    <w:pPr>
      <w:pStyle w:val="4"/>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4613B">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A54613B">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AyNGYyMWNlNWQ1MzdlNzNiNzgxNTJjOWJkNDVkMjMifQ=="/>
  </w:docVars>
  <w:rsids>
    <w:rsidRoot w:val="59A7629C"/>
    <w:rsid w:val="00010276"/>
    <w:rsid w:val="00014D0C"/>
    <w:rsid w:val="00022810"/>
    <w:rsid w:val="00023F1C"/>
    <w:rsid w:val="00024EB7"/>
    <w:rsid w:val="000277B6"/>
    <w:rsid w:val="0004332F"/>
    <w:rsid w:val="00055F1F"/>
    <w:rsid w:val="00065355"/>
    <w:rsid w:val="00082162"/>
    <w:rsid w:val="00085938"/>
    <w:rsid w:val="000876FE"/>
    <w:rsid w:val="000B0058"/>
    <w:rsid w:val="000B586A"/>
    <w:rsid w:val="00116816"/>
    <w:rsid w:val="0014185B"/>
    <w:rsid w:val="00144BDC"/>
    <w:rsid w:val="001542EA"/>
    <w:rsid w:val="00155A55"/>
    <w:rsid w:val="00156B09"/>
    <w:rsid w:val="0017252B"/>
    <w:rsid w:val="00175775"/>
    <w:rsid w:val="00176FAD"/>
    <w:rsid w:val="0019440C"/>
    <w:rsid w:val="001B3814"/>
    <w:rsid w:val="001C2E23"/>
    <w:rsid w:val="001E5E93"/>
    <w:rsid w:val="001E65CC"/>
    <w:rsid w:val="002078A6"/>
    <w:rsid w:val="00255C84"/>
    <w:rsid w:val="00257B6A"/>
    <w:rsid w:val="00262ADF"/>
    <w:rsid w:val="00271AFC"/>
    <w:rsid w:val="00275393"/>
    <w:rsid w:val="0027576E"/>
    <w:rsid w:val="002A5CB3"/>
    <w:rsid w:val="002C4BCF"/>
    <w:rsid w:val="002E62FE"/>
    <w:rsid w:val="002F3B6E"/>
    <w:rsid w:val="003011E0"/>
    <w:rsid w:val="00325096"/>
    <w:rsid w:val="00327650"/>
    <w:rsid w:val="00342C15"/>
    <w:rsid w:val="00347FAA"/>
    <w:rsid w:val="003606D4"/>
    <w:rsid w:val="0037417D"/>
    <w:rsid w:val="003B16D2"/>
    <w:rsid w:val="003F2D0A"/>
    <w:rsid w:val="00414689"/>
    <w:rsid w:val="00416775"/>
    <w:rsid w:val="00432E42"/>
    <w:rsid w:val="00445533"/>
    <w:rsid w:val="00456EEF"/>
    <w:rsid w:val="004862A5"/>
    <w:rsid w:val="00496BC4"/>
    <w:rsid w:val="004B1846"/>
    <w:rsid w:val="004C6DC3"/>
    <w:rsid w:val="004D01AD"/>
    <w:rsid w:val="004E5F23"/>
    <w:rsid w:val="004F7CF1"/>
    <w:rsid w:val="00516A62"/>
    <w:rsid w:val="00517086"/>
    <w:rsid w:val="005239FA"/>
    <w:rsid w:val="005766B0"/>
    <w:rsid w:val="005769B1"/>
    <w:rsid w:val="00596C80"/>
    <w:rsid w:val="005A3841"/>
    <w:rsid w:val="005B701F"/>
    <w:rsid w:val="005D12D8"/>
    <w:rsid w:val="005D4983"/>
    <w:rsid w:val="005E5CAF"/>
    <w:rsid w:val="005E5CFB"/>
    <w:rsid w:val="00604A23"/>
    <w:rsid w:val="00607CED"/>
    <w:rsid w:val="00612995"/>
    <w:rsid w:val="00615F5E"/>
    <w:rsid w:val="006201F6"/>
    <w:rsid w:val="00620B27"/>
    <w:rsid w:val="006250BD"/>
    <w:rsid w:val="00667715"/>
    <w:rsid w:val="00667C39"/>
    <w:rsid w:val="00675714"/>
    <w:rsid w:val="00683A18"/>
    <w:rsid w:val="006969BA"/>
    <w:rsid w:val="006A3A3E"/>
    <w:rsid w:val="006A5B9B"/>
    <w:rsid w:val="006B0967"/>
    <w:rsid w:val="006C509D"/>
    <w:rsid w:val="006C5BC0"/>
    <w:rsid w:val="006D3082"/>
    <w:rsid w:val="00715AFC"/>
    <w:rsid w:val="0072229E"/>
    <w:rsid w:val="00740518"/>
    <w:rsid w:val="00745620"/>
    <w:rsid w:val="007535B0"/>
    <w:rsid w:val="00766E59"/>
    <w:rsid w:val="00772DB7"/>
    <w:rsid w:val="007840E7"/>
    <w:rsid w:val="00785A35"/>
    <w:rsid w:val="007A5432"/>
    <w:rsid w:val="007B3CEC"/>
    <w:rsid w:val="007B7356"/>
    <w:rsid w:val="007C0FB9"/>
    <w:rsid w:val="007D0069"/>
    <w:rsid w:val="008064DD"/>
    <w:rsid w:val="00816646"/>
    <w:rsid w:val="00825B32"/>
    <w:rsid w:val="0082643C"/>
    <w:rsid w:val="00826E70"/>
    <w:rsid w:val="00831E8B"/>
    <w:rsid w:val="008473B1"/>
    <w:rsid w:val="008524F6"/>
    <w:rsid w:val="008541B3"/>
    <w:rsid w:val="00865593"/>
    <w:rsid w:val="00881877"/>
    <w:rsid w:val="008837E0"/>
    <w:rsid w:val="008A1BA9"/>
    <w:rsid w:val="008A5B64"/>
    <w:rsid w:val="008C2369"/>
    <w:rsid w:val="008D2075"/>
    <w:rsid w:val="008E29E9"/>
    <w:rsid w:val="008E5DD5"/>
    <w:rsid w:val="008E6A6C"/>
    <w:rsid w:val="008F0FBB"/>
    <w:rsid w:val="00901455"/>
    <w:rsid w:val="0091522F"/>
    <w:rsid w:val="00964BFA"/>
    <w:rsid w:val="009B1A3E"/>
    <w:rsid w:val="009D237B"/>
    <w:rsid w:val="009E5282"/>
    <w:rsid w:val="00A05C7D"/>
    <w:rsid w:val="00A16FC7"/>
    <w:rsid w:val="00A21F3F"/>
    <w:rsid w:val="00A62104"/>
    <w:rsid w:val="00A77B75"/>
    <w:rsid w:val="00A83F64"/>
    <w:rsid w:val="00A90D66"/>
    <w:rsid w:val="00A9664F"/>
    <w:rsid w:val="00AA7E3A"/>
    <w:rsid w:val="00AB6A0A"/>
    <w:rsid w:val="00AC7780"/>
    <w:rsid w:val="00AD52FB"/>
    <w:rsid w:val="00AE2423"/>
    <w:rsid w:val="00B43B40"/>
    <w:rsid w:val="00B44136"/>
    <w:rsid w:val="00B539E6"/>
    <w:rsid w:val="00B86C63"/>
    <w:rsid w:val="00BB7286"/>
    <w:rsid w:val="00BC7388"/>
    <w:rsid w:val="00BD0ECB"/>
    <w:rsid w:val="00BD6F25"/>
    <w:rsid w:val="00BE493E"/>
    <w:rsid w:val="00C070DA"/>
    <w:rsid w:val="00C22CCC"/>
    <w:rsid w:val="00C279D6"/>
    <w:rsid w:val="00C74B60"/>
    <w:rsid w:val="00C77B1F"/>
    <w:rsid w:val="00C83233"/>
    <w:rsid w:val="00C93AFB"/>
    <w:rsid w:val="00C94A6E"/>
    <w:rsid w:val="00CB33FB"/>
    <w:rsid w:val="00CC0C2C"/>
    <w:rsid w:val="00D0385E"/>
    <w:rsid w:val="00D16776"/>
    <w:rsid w:val="00D238F8"/>
    <w:rsid w:val="00D30C66"/>
    <w:rsid w:val="00D370CD"/>
    <w:rsid w:val="00D641BB"/>
    <w:rsid w:val="00D74450"/>
    <w:rsid w:val="00D7771F"/>
    <w:rsid w:val="00D801A9"/>
    <w:rsid w:val="00D85031"/>
    <w:rsid w:val="00D9291A"/>
    <w:rsid w:val="00D93AF4"/>
    <w:rsid w:val="00DB4382"/>
    <w:rsid w:val="00DB58DF"/>
    <w:rsid w:val="00DD144F"/>
    <w:rsid w:val="00DD7766"/>
    <w:rsid w:val="00DF19C3"/>
    <w:rsid w:val="00E01C67"/>
    <w:rsid w:val="00E176E9"/>
    <w:rsid w:val="00E241BF"/>
    <w:rsid w:val="00E46EC6"/>
    <w:rsid w:val="00E64ED2"/>
    <w:rsid w:val="00E76763"/>
    <w:rsid w:val="00EB3300"/>
    <w:rsid w:val="00EB58DF"/>
    <w:rsid w:val="00EC49AF"/>
    <w:rsid w:val="00EC4EAD"/>
    <w:rsid w:val="00ED28DE"/>
    <w:rsid w:val="00ED7181"/>
    <w:rsid w:val="00EF23D2"/>
    <w:rsid w:val="00F0217D"/>
    <w:rsid w:val="00F10F53"/>
    <w:rsid w:val="00F1139D"/>
    <w:rsid w:val="00F15919"/>
    <w:rsid w:val="00F5418D"/>
    <w:rsid w:val="00F6265C"/>
    <w:rsid w:val="00F636E5"/>
    <w:rsid w:val="00F71C2B"/>
    <w:rsid w:val="00F91C5A"/>
    <w:rsid w:val="00FB644D"/>
    <w:rsid w:val="00FC0CCB"/>
    <w:rsid w:val="00FC37C3"/>
    <w:rsid w:val="00FD0070"/>
    <w:rsid w:val="00FD38BB"/>
    <w:rsid w:val="00FF48CC"/>
    <w:rsid w:val="059027D0"/>
    <w:rsid w:val="0BC1638D"/>
    <w:rsid w:val="0F7C7F74"/>
    <w:rsid w:val="103A670E"/>
    <w:rsid w:val="13740F7B"/>
    <w:rsid w:val="1FE42251"/>
    <w:rsid w:val="20431862"/>
    <w:rsid w:val="250273A3"/>
    <w:rsid w:val="27F31543"/>
    <w:rsid w:val="2D525185"/>
    <w:rsid w:val="3FFF8373"/>
    <w:rsid w:val="487A0D14"/>
    <w:rsid w:val="4C9925CF"/>
    <w:rsid w:val="4CF653D6"/>
    <w:rsid w:val="52585165"/>
    <w:rsid w:val="592B7F6F"/>
    <w:rsid w:val="5967369D"/>
    <w:rsid w:val="59A7629C"/>
    <w:rsid w:val="5AF2343A"/>
    <w:rsid w:val="637901D4"/>
    <w:rsid w:val="66625859"/>
    <w:rsid w:val="68212CB2"/>
    <w:rsid w:val="7AE05FAF"/>
    <w:rsid w:val="7BA577E9"/>
    <w:rsid w:val="7C7F2A0B"/>
    <w:rsid w:val="7F370106"/>
    <w:rsid w:val="7FE5FA30"/>
    <w:rsid w:val="B58733B1"/>
    <w:rsid w:val="B7FE112D"/>
    <w:rsid w:val="BBB7062E"/>
    <w:rsid w:val="EEF12FB8"/>
    <w:rsid w:val="F5F727C8"/>
    <w:rsid w:val="F77F9932"/>
    <w:rsid w:val="F7BF9949"/>
    <w:rsid w:val="FC3F7669"/>
    <w:rsid w:val="FEBFC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paragraph" w:customStyle="1" w:styleId="10">
    <w:name w:val="1正文中文"/>
    <w:basedOn w:val="1"/>
    <w:qFormat/>
    <w:uiPriority w:val="0"/>
    <w:pPr>
      <w:spacing w:line="560" w:lineRule="exact"/>
      <w:ind w:firstLine="200" w:firstLineChars="200"/>
    </w:pPr>
    <w:rPr>
      <w:rFonts w:hint="eastAsia" w:ascii="仿宋_GB2312" w:eastAsia="仿宋_GB2312"/>
      <w:sz w:val="32"/>
      <w:szCs w:val="22"/>
    </w:rPr>
  </w:style>
  <w:style w:type="character" w:customStyle="1" w:styleId="11">
    <w:name w:val="批注框文本 字符"/>
    <w:basedOn w:val="8"/>
    <w:link w:val="3"/>
    <w:qFormat/>
    <w:uiPriority w:val="0"/>
    <w:rPr>
      <w:rFonts w:ascii="Calibri" w:hAnsi="Calibri"/>
      <w:kern w:val="2"/>
      <w:sz w:val="18"/>
      <w:szCs w:val="18"/>
    </w:rPr>
  </w:style>
  <w:style w:type="character" w:customStyle="1" w:styleId="12">
    <w:name w:val="批注文字 字符"/>
    <w:basedOn w:val="8"/>
    <w:link w:val="2"/>
    <w:qFormat/>
    <w:uiPriority w:val="0"/>
    <w:rPr>
      <w:rFonts w:ascii="Calibri" w:hAnsi="Calibri"/>
      <w:kern w:val="2"/>
      <w:sz w:val="21"/>
      <w:szCs w:val="24"/>
    </w:rPr>
  </w:style>
  <w:style w:type="character" w:customStyle="1" w:styleId="13">
    <w:name w:val="批注主题 字符"/>
    <w:basedOn w:val="12"/>
    <w:link w:val="6"/>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2436</Words>
  <Characters>2468</Characters>
  <Lines>14</Lines>
  <Paragraphs>4</Paragraphs>
  <TotalTime>12</TotalTime>
  <ScaleCrop>false</ScaleCrop>
  <LinksUpToDate>false</LinksUpToDate>
  <CharactersWithSpaces>2468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2025-03-30T21:27:00Z</dcterms:created>
  <dc:creator>王霞</dc:creator>
  <cp:lastModifiedBy>平东采编</cp:lastModifiedBy>
  <dcterms:modified xsi:type="dcterms:W3CDTF">2025-03-30T13:14:48Z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EFC7A9A06CF3BF5E303EE967955FCC36_43</vt:lpwstr>
  </property>
  <property fmtid="{D5CDD505-2E9C-101B-9397-08002B2CF9AE}" pid="4" name="KSOTemplateDocerSaveRecord">
    <vt:lpwstr>eyJoZGlkIjoiOWEwZGEyNzU3ZTE4YmQxYmE4NDg3MTkwMjNhYmI5ZDAiLCJ1c2VySWQiOiIzMTA5ODM4NTEifQ==</vt:lpwstr>
  </property>
</Properties>
</file>