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22FD786">
      <w:pPr>
        <w:jc w:val="center"/>
        <w:rPr>
          <w:rFonts w:hint="eastAsia" w:ascii="方正小标宋_GBK" w:hAnsi="方正小标宋_GBK" w:eastAsia="方正小标宋_GBK" w:cs="方正小标宋_GBK"/>
          <w:b/>
          <w:bCs/>
          <w:sz w:val="36"/>
          <w:szCs w:val="36"/>
        </w:rPr>
      </w:pPr>
      <w:r>
        <w:rPr>
          <w:rFonts w:hint="eastAsia" w:ascii="方正小标宋_GBK" w:hAnsi="方正小标宋_GBK" w:eastAsia="方正小标宋_GBK" w:cs="方正小标宋_GBK"/>
          <w:b/>
          <w:bCs/>
          <w:sz w:val="36"/>
          <w:szCs w:val="36"/>
        </w:rPr>
        <w:t>第四届创意</w:t>
      </w:r>
      <w:r>
        <w:rPr>
          <w:rFonts w:ascii="方正小标宋_GBK" w:hAnsi="方正小标宋_GBK" w:eastAsia="方正小标宋_GBK" w:cs="方正小标宋_GBK"/>
          <w:b/>
          <w:bCs/>
          <w:sz w:val="36"/>
          <w:szCs w:val="36"/>
        </w:rPr>
        <w:t>2030国际论坛</w:t>
      </w:r>
      <w:r>
        <w:rPr>
          <w:rFonts w:hint="eastAsia" w:ascii="方正小标宋_GBK" w:hAnsi="方正小标宋_GBK" w:eastAsia="方正小标宋_GBK" w:cs="方正小标宋_GBK"/>
          <w:b/>
          <w:bCs/>
          <w:sz w:val="36"/>
          <w:szCs w:val="36"/>
          <w:lang w:val="en-US" w:eastAsia="zh-Hans"/>
        </w:rPr>
        <w:t>召开</w:t>
      </w:r>
    </w:p>
    <w:p w14:paraId="69D861F2">
      <w:pPr>
        <w:jc w:val="center"/>
        <w:rPr>
          <w:rFonts w:hint="eastAsia" w:ascii="方正小标宋_GBK" w:hAnsi="方正小标宋_GBK" w:eastAsia="方正小标宋_GBK" w:cs="方正小标宋_GBK"/>
          <w:b/>
          <w:bCs/>
          <w:sz w:val="30"/>
          <w:szCs w:val="30"/>
        </w:rPr>
      </w:pPr>
    </w:p>
    <w:p w14:paraId="64331C7B">
      <w:pPr>
        <w:spacing w:line="460" w:lineRule="exact"/>
        <w:ind w:firstLine="600" w:firstLineChars="200"/>
        <w:jc w:val="both"/>
        <w:rPr>
          <w:rFonts w:hint="eastAsia" w:ascii="仿宋_GB2312" w:hAnsi="仿宋_GB2312" w:eastAsia="仿宋_GB2312" w:cs="仿宋_GB2312"/>
          <w:sz w:val="30"/>
          <w:szCs w:val="30"/>
        </w:rPr>
      </w:pPr>
      <w:r>
        <w:rPr>
          <w:rFonts w:ascii="仿宋_GB2312" w:hAnsi="仿宋_GB2312" w:eastAsia="仿宋_GB2312" w:cs="仿宋_GB2312"/>
          <w:sz w:val="30"/>
          <w:szCs w:val="30"/>
        </w:rPr>
        <w:t>3月29日，第四届创意2030国际论坛在北京市</w:t>
      </w:r>
      <w:r>
        <w:rPr>
          <w:rFonts w:hint="eastAsia" w:ascii="仿宋_GB2312" w:hAnsi="仿宋_GB2312" w:eastAsia="仿宋_GB2312" w:cs="仿宋_GB2312"/>
          <w:sz w:val="30"/>
          <w:szCs w:val="30"/>
        </w:rPr>
        <w:t>石景山区首钢园</w:t>
      </w:r>
      <w:r>
        <w:rPr>
          <w:rFonts w:ascii="仿宋_GB2312" w:hAnsi="仿宋_GB2312" w:eastAsia="仿宋_GB2312" w:cs="仿宋_GB2312"/>
          <w:sz w:val="30"/>
          <w:szCs w:val="30"/>
        </w:rPr>
        <w:t>召开。</w:t>
      </w:r>
      <w:r>
        <w:rPr>
          <w:rFonts w:hint="eastAsia" w:ascii="仿宋_GB2312" w:hAnsi="仿宋_GB2312" w:eastAsia="仿宋_GB2312" w:cs="仿宋_GB2312"/>
          <w:sz w:val="30"/>
          <w:szCs w:val="30"/>
        </w:rPr>
        <w:t>在</w:t>
      </w:r>
      <w:r>
        <w:rPr>
          <w:rFonts w:ascii="仿宋_GB2312" w:hAnsi="仿宋_GB2312" w:eastAsia="仿宋_GB2312" w:cs="仿宋_GB2312"/>
          <w:sz w:val="30"/>
          <w:szCs w:val="30"/>
        </w:rPr>
        <w:t>北京市科学技术委员会、中关村科技园区管理委员会</w:t>
      </w:r>
      <w:r>
        <w:rPr>
          <w:rFonts w:hint="eastAsia" w:ascii="仿宋_GB2312" w:hAnsi="仿宋_GB2312" w:eastAsia="仿宋_GB2312" w:cs="仿宋_GB2312"/>
          <w:sz w:val="30"/>
          <w:szCs w:val="30"/>
        </w:rPr>
        <w:t>的指导下，北京科技创新促进中心的支持下，“第四届创意</w:t>
      </w:r>
      <w:r>
        <w:rPr>
          <w:rFonts w:ascii="仿宋_GB2312" w:hAnsi="仿宋_GB2312" w:eastAsia="仿宋_GB2312" w:cs="仿宋_GB2312"/>
          <w:sz w:val="30"/>
          <w:szCs w:val="30"/>
        </w:rPr>
        <w:t>2030国际论坛</w:t>
      </w:r>
      <w:r>
        <w:rPr>
          <w:rFonts w:hint="eastAsia" w:ascii="仿宋_GB2312" w:hAnsi="仿宋_GB2312" w:eastAsia="仿宋_GB2312" w:cs="仿宋_GB2312"/>
          <w:sz w:val="30"/>
          <w:szCs w:val="30"/>
        </w:rPr>
        <w:t>”由联合国教科文组织国际创意与可持续发展中心主办。联合国教科文组织东亚多部门地区办事处文化部门负责人杨碧幸、世界贸易网点联盟亚太区总干事卡洛琳娜·昆塔娜、林茨电子艺术中心艺术节与展览部总经理维罗妮卡·利布尔、</w:t>
      </w:r>
      <w:r>
        <w:rPr>
          <w:rFonts w:ascii="仿宋_GB2312" w:hAnsi="仿宋_GB2312" w:eastAsia="仿宋_GB2312" w:cs="仿宋_GB2312"/>
          <w:sz w:val="30"/>
          <w:szCs w:val="30"/>
        </w:rPr>
        <w:t>Culturespaces集团国际商业发展总监</w:t>
      </w:r>
      <w:r>
        <w:rPr>
          <w:rFonts w:hint="eastAsia" w:ascii="仿宋_GB2312" w:hAnsi="仿宋_GB2312" w:eastAsia="仿宋_GB2312" w:cs="仿宋_GB2312"/>
          <w:sz w:val="30"/>
          <w:szCs w:val="30"/>
        </w:rPr>
        <w:t>吕克·阿尔尚博、北京电影学院数字媒体学院院长刘梦雅等来自中国、法国、德国、奥地利、瑞士、英国等10个国家的150余人参会，包括来自北京、澳门、上海、重庆、杭州、武汉、长沙、南京、深圳、成都、郑州、苏州、桂林、三亚、潮州等近20个城市的联合国教科文组织创意城市网络的政府、企业、机构和院校代表。与会嘉宾从政策规划、技术应用、产品开发和国际贸易等方面，围绕数智科幻助推文化多样性发展进行了探讨。</w:t>
      </w:r>
    </w:p>
    <w:p w14:paraId="31B9A9BE">
      <w:pPr>
        <w:spacing w:line="460" w:lineRule="exact"/>
        <w:jc w:val="both"/>
        <w:rPr>
          <w:rFonts w:hint="eastAsia" w:ascii="仿宋_GB2312" w:hAnsi="仿宋_GB2312" w:eastAsia="仿宋_GB2312" w:cs="仿宋_GB2312"/>
          <w:sz w:val="30"/>
          <w:szCs w:val="30"/>
        </w:rPr>
      </w:pPr>
      <w:r>
        <w:rPr>
          <w:rFonts w:hint="eastAsia" w:ascii="仿宋_GB2312" w:hAnsi="仿宋_GB2312" w:eastAsia="仿宋_GB2312" w:cs="仿宋_GB2312"/>
          <w:sz w:val="30"/>
          <w:szCs w:val="30"/>
          <w14:ligatures w14:val="none"/>
        </w:rPr>
        <w:drawing>
          <wp:anchor distT="0" distB="0" distL="114300" distR="114300" simplePos="0" relativeHeight="251663360" behindDoc="0" locked="0" layoutInCell="1" allowOverlap="1">
            <wp:simplePos x="0" y="0"/>
            <wp:positionH relativeFrom="column">
              <wp:posOffset>175260</wp:posOffset>
            </wp:positionH>
            <wp:positionV relativeFrom="paragraph">
              <wp:posOffset>0</wp:posOffset>
            </wp:positionV>
            <wp:extent cx="5274310" cy="3514725"/>
            <wp:effectExtent l="0" t="0" r="2540" b="9525"/>
            <wp:wrapTopAndBottom/>
            <wp:docPr id="25947015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470152" name="图片 9"/>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3514725"/>
                    </a:xfrm>
                    <a:prstGeom prst="rect">
                      <a:avLst/>
                    </a:prstGeom>
                  </pic:spPr>
                </pic:pic>
              </a:graphicData>
            </a:graphic>
          </wp:anchor>
        </w:drawing>
      </w:r>
    </w:p>
    <w:p w14:paraId="727B22D1">
      <w:pPr>
        <w:spacing w:line="560" w:lineRule="exact"/>
        <w:jc w:val="center"/>
        <w:rPr>
          <w:rFonts w:hint="eastAsia" w:ascii="仿宋_GB2312" w:hAnsi="仿宋_GB2312" w:eastAsia="仿宋_GB2312" w:cs="仿宋_GB2312"/>
          <w:sz w:val="30"/>
          <w:szCs w:val="30"/>
        </w:rPr>
      </w:pPr>
      <w:r>
        <w:rPr>
          <w:rFonts w:hint="eastAsia" w:ascii="仿宋_GB2312" w:hAnsi="黑体" w:eastAsia="仿宋_GB2312"/>
          <w:sz w:val="30"/>
          <w:szCs w:val="30"/>
        </w:rPr>
        <w:t>【论坛嘉宾合影】</w:t>
      </w:r>
    </w:p>
    <w:p w14:paraId="107844B1">
      <w:pPr>
        <w:spacing w:line="460" w:lineRule="exact"/>
        <w:ind w:firstLine="600" w:firstLineChars="200"/>
        <w:jc w:val="both"/>
        <w:rPr>
          <w:rFonts w:hint="eastAsia" w:ascii="仿宋_GB2312" w:hAnsi="仿宋_GB2312" w:eastAsia="仿宋_GB2312" w:cs="仿宋_GB2312"/>
          <w:sz w:val="30"/>
          <w:szCs w:val="30"/>
        </w:rPr>
      </w:pPr>
      <w:r>
        <w:rPr>
          <w:rFonts w:hint="eastAsia" w:ascii="仿宋_GB2312" w:hAnsi="仿宋_GB2312" w:eastAsia="仿宋_GB2312" w:cs="仿宋_GB2312"/>
          <w:sz w:val="30"/>
          <w:szCs w:val="30"/>
          <w14:ligatures w14:val="none"/>
        </w:rPr>
        <w:drawing>
          <wp:anchor distT="0" distB="0" distL="114300" distR="114300" simplePos="0" relativeHeight="251662336" behindDoc="0" locked="0" layoutInCell="1" allowOverlap="1">
            <wp:simplePos x="0" y="0"/>
            <wp:positionH relativeFrom="margin">
              <wp:posOffset>187960</wp:posOffset>
            </wp:positionH>
            <wp:positionV relativeFrom="paragraph">
              <wp:posOffset>1598930</wp:posOffset>
            </wp:positionV>
            <wp:extent cx="5274310" cy="2459355"/>
            <wp:effectExtent l="0" t="0" r="2540" b="0"/>
            <wp:wrapTopAndBottom/>
            <wp:docPr id="81168815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688151" name="图片 8"/>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2459355"/>
                    </a:xfrm>
                    <a:prstGeom prst="rect">
                      <a:avLst/>
                    </a:prstGeom>
                  </pic:spPr>
                </pic:pic>
              </a:graphicData>
            </a:graphic>
          </wp:anchor>
        </w:drawing>
      </w:r>
      <w:r>
        <w:rPr>
          <w:rFonts w:hint="eastAsia" w:ascii="仿宋_GB2312" w:hAnsi="仿宋_GB2312" w:eastAsia="仿宋_GB2312" w:cs="仿宋_GB2312"/>
          <w:sz w:val="30"/>
          <w:szCs w:val="30"/>
        </w:rPr>
        <w:t>联合国教科文组织东亚多部门地区办事处主任</w:t>
      </w:r>
      <w:r>
        <w:rPr>
          <w:rFonts w:hint="eastAsia" w:ascii="仿宋_GB2312" w:hAnsi="仿宋_GB2312" w:eastAsia="仿宋_GB2312" w:cs="仿宋_GB2312"/>
          <w:sz w:val="30"/>
          <w:szCs w:val="30"/>
          <w:lang w:eastAsia="zh-CN"/>
        </w:rPr>
        <w:t>夏泽翰</w:t>
      </w:r>
      <w:r>
        <w:rPr>
          <w:rFonts w:hint="eastAsia" w:ascii="仿宋_GB2312" w:hAnsi="仿宋_GB2312" w:eastAsia="仿宋_GB2312" w:cs="仿宋_GB2312"/>
          <w:sz w:val="30"/>
          <w:szCs w:val="30"/>
        </w:rPr>
        <w:t>视频致辞，中国联合国教科文组织全国委员会秘书处副秘书长葛思颖、北京市科学技术委员会、中关村科技园区管理委员会副主任董齐超、北京市石景山区副区长王其志致辞。</w:t>
      </w:r>
      <w:r>
        <w:rPr>
          <w:rFonts w:hint="eastAsia" w:ascii="仿宋_GB2312" w:hAnsi="仿宋_GB2312" w:eastAsia="仿宋_GB2312" w:cs="仿宋_GB2312"/>
          <w:sz w:val="30"/>
          <w:szCs w:val="30"/>
          <w:u w:val="none" w:color="FFFFFF"/>
          <w:shd w:val="clear"/>
        </w:rPr>
        <w:t>开幕式</w:t>
      </w:r>
      <w:r>
        <w:rPr>
          <w:rFonts w:hint="eastAsia" w:ascii="仿宋_GB2312" w:hAnsi="仿宋_GB2312" w:eastAsia="仿宋_GB2312" w:cs="仿宋_GB2312"/>
          <w:sz w:val="30"/>
          <w:szCs w:val="30"/>
        </w:rPr>
        <w:t>由北京科技创新促进中心主任褚潇炜主持。</w:t>
      </w:r>
    </w:p>
    <w:p w14:paraId="552452E4">
      <w:pPr>
        <w:spacing w:line="560" w:lineRule="exact"/>
        <w:jc w:val="center"/>
        <w:rPr>
          <w:rFonts w:hint="eastAsia" w:ascii="仿宋_GB2312" w:hAnsi="仿宋_GB2312" w:eastAsia="仿宋_GB2312" w:cs="仿宋_GB2312"/>
          <w:sz w:val="30"/>
          <w:szCs w:val="30"/>
        </w:rPr>
      </w:pPr>
      <w:r>
        <w:rPr>
          <w:rFonts w:hint="eastAsia" w:ascii="仿宋_GB2312" w:hAnsi="黑体" w:eastAsia="仿宋_GB2312"/>
          <w:sz w:val="30"/>
          <w:szCs w:val="30"/>
        </w:rPr>
        <w:t>创意2030国际论坛现场</w:t>
      </w:r>
    </w:p>
    <w:p w14:paraId="0064B7BD">
      <w:pPr>
        <w:spacing w:line="460" w:lineRule="exact"/>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lang w:eastAsia="zh-CN"/>
        </w:rPr>
        <w:t>夏泽翰</w:t>
      </w:r>
      <w:r>
        <w:rPr>
          <w:rFonts w:hint="eastAsia" w:ascii="仿宋_GB2312" w:hAnsi="仿宋_GB2312" w:eastAsia="仿宋_GB2312" w:cs="仿宋_GB2312"/>
          <w:sz w:val="30"/>
          <w:szCs w:val="30"/>
        </w:rPr>
        <w:t>在致辞中表示，本次论坛充分彰显了创意与创新在推动可持续发展以及维护数字时代文化多样性方面的重要作用，要促进创意产业的创新，尤其是在科幻等领域，提供必要的资源、网络支持与政策框架，激励创造力的迸发与产业的蓬勃发展。</w:t>
      </w:r>
    </w:p>
    <w:p w14:paraId="205C957F">
      <w:pPr>
        <w:spacing w:line="460" w:lineRule="exact"/>
        <w:jc w:val="center"/>
        <w:rPr>
          <w:rFonts w:hint="eastAsia" w:ascii="仿宋_GB2312" w:hAnsi="黑体" w:eastAsia="仿宋_GB2312"/>
          <w:sz w:val="30"/>
          <w:szCs w:val="30"/>
        </w:rPr>
      </w:pPr>
      <w:r>
        <w:rPr>
          <w:rFonts w:ascii="仿宋_GB2312" w:hAnsi="仿宋_GB2312" w:eastAsia="仿宋_GB2312" w:cs="仿宋_GB2312"/>
          <w:sz w:val="30"/>
          <w:szCs w:val="30"/>
          <w14:ligatures w14:val="none"/>
        </w:rPr>
        <w:drawing>
          <wp:anchor distT="0" distB="0" distL="114300" distR="114300" simplePos="0" relativeHeight="251660288" behindDoc="0" locked="0" layoutInCell="1" allowOverlap="1">
            <wp:simplePos x="0" y="0"/>
            <wp:positionH relativeFrom="column">
              <wp:posOffset>129540</wp:posOffset>
            </wp:positionH>
            <wp:positionV relativeFrom="paragraph">
              <wp:posOffset>0</wp:posOffset>
            </wp:positionV>
            <wp:extent cx="5274310" cy="3515360"/>
            <wp:effectExtent l="0" t="0" r="2540" b="8890"/>
            <wp:wrapTopAndBottom/>
            <wp:docPr id="189069298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692988" name="图片 6"/>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3515360"/>
                    </a:xfrm>
                    <a:prstGeom prst="rect">
                      <a:avLst/>
                    </a:prstGeom>
                  </pic:spPr>
                </pic:pic>
              </a:graphicData>
            </a:graphic>
          </wp:anchor>
        </w:drawing>
      </w:r>
      <w:bookmarkStart w:id="0" w:name="_GoBack"/>
      <w:bookmarkEnd w:id="0"/>
      <w:r>
        <w:rPr>
          <w:rFonts w:hint="eastAsia" w:ascii="仿宋_GB2312" w:hAnsi="黑体" w:eastAsia="仿宋_GB2312"/>
          <w:sz w:val="30"/>
          <w:szCs w:val="30"/>
          <w:lang w:eastAsia="zh-CN"/>
        </w:rPr>
        <w:t>夏泽翰</w:t>
      </w:r>
      <w:r>
        <w:rPr>
          <w:rFonts w:hint="eastAsia" w:ascii="仿宋_GB2312" w:hAnsi="黑体" w:eastAsia="仿宋_GB2312"/>
          <w:sz w:val="30"/>
          <w:szCs w:val="30"/>
        </w:rPr>
        <w:t>致辞</w:t>
      </w:r>
    </w:p>
    <w:p w14:paraId="1DB9AF95">
      <w:pPr>
        <w:spacing w:line="460" w:lineRule="exact"/>
        <w:jc w:val="center"/>
        <w:rPr>
          <w:rFonts w:hint="eastAsia" w:ascii="仿宋_GB2312" w:hAnsi="仿宋_GB2312" w:eastAsia="仿宋_GB2312" w:cs="仿宋_GB2312"/>
          <w:sz w:val="30"/>
          <w:szCs w:val="30"/>
        </w:rPr>
      </w:pPr>
    </w:p>
    <w:p w14:paraId="65711002">
      <w:pPr>
        <w:spacing w:line="460" w:lineRule="exact"/>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rPr>
        <w:t>庆祝</w:t>
      </w:r>
      <w:r>
        <w:rPr>
          <w:rFonts w:hint="eastAsia" w:ascii="仿宋_GB2312" w:hAnsi="仿宋_GB2312" w:eastAsia="仿宋_GB2312" w:cs="仿宋_GB2312"/>
          <w:b/>
          <w:bCs/>
          <w:sz w:val="30"/>
          <w:szCs w:val="30"/>
          <w:lang w:eastAsia="zh-Hans"/>
        </w:rPr>
        <w:t>“</w:t>
      </w:r>
      <w:r>
        <w:rPr>
          <w:rFonts w:hint="eastAsia" w:ascii="仿宋_GB2312" w:hAnsi="仿宋_GB2312" w:eastAsia="仿宋_GB2312" w:cs="仿宋_GB2312"/>
          <w:b/>
          <w:bCs/>
          <w:sz w:val="30"/>
          <w:szCs w:val="30"/>
        </w:rPr>
        <w:t>2005公约</w:t>
      </w:r>
      <w:r>
        <w:rPr>
          <w:rFonts w:hint="eastAsia" w:ascii="仿宋_GB2312" w:hAnsi="仿宋_GB2312" w:eastAsia="仿宋_GB2312" w:cs="仿宋_GB2312"/>
          <w:b/>
          <w:bCs/>
          <w:sz w:val="30"/>
          <w:szCs w:val="30"/>
          <w:lang w:eastAsia="zh-Hans"/>
        </w:rPr>
        <w:t>”</w:t>
      </w:r>
      <w:r>
        <w:rPr>
          <w:rFonts w:ascii="仿宋_GB2312" w:hAnsi="仿宋_GB2312" w:eastAsia="仿宋_GB2312" w:cs="仿宋_GB2312"/>
          <w:b/>
          <w:bCs/>
          <w:sz w:val="30"/>
          <w:szCs w:val="30"/>
        </w:rPr>
        <w:t>20</w:t>
      </w:r>
      <w:r>
        <w:rPr>
          <w:rFonts w:hint="eastAsia" w:ascii="仿宋_GB2312" w:hAnsi="仿宋_GB2312" w:eastAsia="仿宋_GB2312" w:cs="仿宋_GB2312"/>
          <w:b/>
          <w:bCs/>
          <w:sz w:val="30"/>
          <w:szCs w:val="30"/>
        </w:rPr>
        <w:t>周年，关注数字环境下文化表现形式多样性保护</w:t>
      </w:r>
    </w:p>
    <w:p w14:paraId="471E119A">
      <w:pPr>
        <w:spacing w:line="460" w:lineRule="exact"/>
        <w:ind w:firstLine="600" w:firstLineChars="200"/>
        <w:rPr>
          <w:rFonts w:hint="eastAsia" w:ascii="仿宋_GB2312" w:hAnsi="仿宋_GB2312" w:eastAsia="仿宋_GB2312" w:cs="仿宋_GB2312"/>
          <w:sz w:val="30"/>
          <w:szCs w:val="30"/>
        </w:rPr>
      </w:pPr>
      <w:r>
        <w:rPr>
          <w:rFonts w:ascii="仿宋_GB2312" w:hAnsi="仿宋_GB2312" w:eastAsia="仿宋_GB2312" w:cs="仿宋_GB2312"/>
          <w:sz w:val="30"/>
          <w:szCs w:val="30"/>
        </w:rPr>
        <w:t>2005年</w:t>
      </w:r>
      <w:r>
        <w:rPr>
          <w:rFonts w:hint="eastAsia" w:ascii="仿宋_GB2312" w:hAnsi="仿宋_GB2312" w:eastAsia="仿宋_GB2312" w:cs="仿宋_GB2312"/>
          <w:sz w:val="30"/>
          <w:szCs w:val="30"/>
        </w:rPr>
        <w:t>,联合国教科文组织通过</w:t>
      </w:r>
      <w:r>
        <w:rPr>
          <w:rFonts w:ascii="仿宋_GB2312" w:hAnsi="仿宋_GB2312" w:eastAsia="仿宋_GB2312" w:cs="仿宋_GB2312"/>
          <w:sz w:val="30"/>
          <w:szCs w:val="30"/>
        </w:rPr>
        <w:t>《保护和促进文化表现形式多样性公约》</w:t>
      </w:r>
      <w:r>
        <w:rPr>
          <w:rFonts w:hint="eastAsia" w:ascii="仿宋_GB2312" w:hAnsi="仿宋_GB2312" w:eastAsia="仿宋_GB2312" w:cs="仿宋_GB2312"/>
          <w:sz w:val="30"/>
          <w:szCs w:val="30"/>
        </w:rPr>
        <w:t>（以下简称《公约》），鼓励通过对话和国际合作提高发展中国家保护和促进文化表现形式多样性的能力，我国于</w:t>
      </w:r>
      <w:r>
        <w:rPr>
          <w:rFonts w:ascii="仿宋_GB2312" w:hAnsi="仿宋_GB2312" w:eastAsia="仿宋_GB2312" w:cs="仿宋_GB2312"/>
          <w:sz w:val="30"/>
          <w:szCs w:val="30"/>
        </w:rPr>
        <w:t>2006</w:t>
      </w:r>
      <w:r>
        <w:rPr>
          <w:rFonts w:hint="eastAsia" w:ascii="仿宋_GB2312" w:hAnsi="仿宋_GB2312" w:eastAsia="仿宋_GB2312" w:cs="仿宋_GB2312"/>
          <w:sz w:val="30"/>
          <w:szCs w:val="30"/>
        </w:rPr>
        <w:t>年批准《公约》。基于数字技术对保护与促进文化多样性工作的重要影响，联合国教科文组织于2019年发布了“数字环境下保护和促进文化表现形式多样性”的操作指南和路线图。今年恰逢《公约》通过</w:t>
      </w:r>
      <w:r>
        <w:rPr>
          <w:rFonts w:ascii="仿宋_GB2312" w:hAnsi="仿宋_GB2312" w:eastAsia="仿宋_GB2312" w:cs="仿宋_GB2312"/>
          <w:sz w:val="30"/>
          <w:szCs w:val="30"/>
        </w:rPr>
        <w:t>20</w:t>
      </w:r>
      <w:r>
        <w:rPr>
          <w:rFonts w:hint="eastAsia" w:ascii="仿宋_GB2312" w:hAnsi="仿宋_GB2312" w:eastAsia="仿宋_GB2312" w:cs="仿宋_GB2312"/>
          <w:sz w:val="30"/>
          <w:szCs w:val="30"/>
        </w:rPr>
        <w:t>周年，“第四届创意2030国际论坛”</w:t>
      </w:r>
      <w:r>
        <w:rPr>
          <w:rFonts w:ascii="仿宋_GB2312" w:hAnsi="仿宋_GB2312" w:eastAsia="仿宋_GB2312" w:cs="仿宋_GB2312"/>
          <w:sz w:val="30"/>
          <w:szCs w:val="30"/>
        </w:rPr>
        <w:t>是我国首个被联合国教科文组织纳入</w:t>
      </w:r>
      <w:r>
        <w:rPr>
          <w:rFonts w:hint="eastAsia" w:ascii="仿宋_GB2312" w:hAnsi="仿宋_GB2312" w:eastAsia="仿宋_GB2312" w:cs="仿宋_GB2312"/>
          <w:sz w:val="30"/>
          <w:szCs w:val="30"/>
        </w:rPr>
        <w:t>《公约》</w:t>
      </w:r>
      <w:r>
        <w:rPr>
          <w:rFonts w:ascii="仿宋_GB2312" w:hAnsi="仿宋_GB2312" w:eastAsia="仿宋_GB2312" w:cs="仿宋_GB2312"/>
          <w:sz w:val="30"/>
          <w:szCs w:val="30"/>
        </w:rPr>
        <w:t>20周年全球庆</w:t>
      </w:r>
      <w:r>
        <w:rPr>
          <w:rFonts w:hint="eastAsia" w:ascii="仿宋_GB2312" w:hAnsi="仿宋_GB2312" w:eastAsia="仿宋_GB2312" w:cs="仿宋_GB2312"/>
          <w:sz w:val="30"/>
          <w:szCs w:val="30"/>
          <w14:ligatures w14:val="none"/>
        </w:rPr>
        <w:drawing>
          <wp:anchor distT="0" distB="0" distL="114300" distR="114300" simplePos="0" relativeHeight="251668480" behindDoc="0" locked="0" layoutInCell="1" allowOverlap="1">
            <wp:simplePos x="0" y="0"/>
            <wp:positionH relativeFrom="margin">
              <wp:align>right</wp:align>
            </wp:positionH>
            <wp:positionV relativeFrom="paragraph">
              <wp:posOffset>708660</wp:posOffset>
            </wp:positionV>
            <wp:extent cx="5274310" cy="3515360"/>
            <wp:effectExtent l="0" t="0" r="2540" b="8890"/>
            <wp:wrapTopAndBottom/>
            <wp:docPr id="70372075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720756" name="图片 15"/>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3515360"/>
                    </a:xfrm>
                    <a:prstGeom prst="rect">
                      <a:avLst/>
                    </a:prstGeom>
                  </pic:spPr>
                </pic:pic>
              </a:graphicData>
            </a:graphic>
          </wp:anchor>
        </w:drawing>
      </w:r>
      <w:r>
        <w:rPr>
          <w:rFonts w:ascii="仿宋_GB2312" w:hAnsi="仿宋_GB2312" w:eastAsia="仿宋_GB2312" w:cs="仿宋_GB2312"/>
          <w:sz w:val="30"/>
          <w:szCs w:val="30"/>
        </w:rPr>
        <w:t>祝活动的项目</w:t>
      </w:r>
      <w:r>
        <w:rPr>
          <w:rFonts w:hint="eastAsia" w:ascii="仿宋_GB2312" w:hAnsi="仿宋_GB2312" w:eastAsia="仿宋_GB2312" w:cs="仿宋_GB2312"/>
          <w:sz w:val="30"/>
          <w:szCs w:val="30"/>
        </w:rPr>
        <w:t>。</w:t>
      </w:r>
    </w:p>
    <w:p w14:paraId="1B5D3A7D">
      <w:pPr>
        <w:spacing w:line="460" w:lineRule="exact"/>
        <w:ind w:firstLine="600" w:firstLineChars="200"/>
        <w:rPr>
          <w:rFonts w:hint="eastAsia" w:ascii="仿宋_GB2312" w:hAnsi="仿宋_GB2312" w:eastAsia="仿宋_GB2312" w:cs="仿宋_GB2312"/>
          <w:sz w:val="30"/>
          <w:szCs w:val="30"/>
        </w:rPr>
      </w:pPr>
    </w:p>
    <w:p w14:paraId="58A3D502">
      <w:pPr>
        <w:spacing w:line="460" w:lineRule="exact"/>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联合国教科文组织东亚多部门地区办事处文化部门负责人杨碧幸介绍了关于“数字环境下的文化表现形式多样性保护”的相关工作。</w:t>
      </w:r>
    </w:p>
    <w:p w14:paraId="2A372944">
      <w:pPr>
        <w:spacing w:line="460" w:lineRule="exact"/>
        <w:rPr>
          <w:rFonts w:hint="eastAsia" w:ascii="仿宋_GB2312" w:hAnsi="仿宋_GB2312" w:eastAsia="仿宋_GB2312" w:cs="仿宋_GB2312"/>
          <w:sz w:val="30"/>
          <w:szCs w:val="30"/>
        </w:rPr>
      </w:pPr>
    </w:p>
    <w:p w14:paraId="272173A0">
      <w:pPr>
        <w:spacing w:line="460" w:lineRule="exact"/>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14:ligatures w14:val="none"/>
        </w:rPr>
        <w:drawing>
          <wp:anchor distT="0" distB="0" distL="114300" distR="114300" simplePos="0" relativeHeight="251664384" behindDoc="0" locked="0" layoutInCell="1" allowOverlap="1">
            <wp:simplePos x="0" y="0"/>
            <wp:positionH relativeFrom="margin">
              <wp:align>left</wp:align>
            </wp:positionH>
            <wp:positionV relativeFrom="paragraph">
              <wp:posOffset>617220</wp:posOffset>
            </wp:positionV>
            <wp:extent cx="5274310" cy="3515360"/>
            <wp:effectExtent l="0" t="0" r="2540" b="8890"/>
            <wp:wrapTopAndBottom/>
            <wp:docPr id="127401464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014641" name="图片 10"/>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3515360"/>
                    </a:xfrm>
                    <a:prstGeom prst="rect">
                      <a:avLst/>
                    </a:prstGeom>
                  </pic:spPr>
                </pic:pic>
              </a:graphicData>
            </a:graphic>
          </wp:anchor>
        </w:drawing>
      </w:r>
      <w:r>
        <w:rPr>
          <w:rFonts w:hint="eastAsia" w:ascii="仿宋_GB2312" w:hAnsi="仿宋_GB2312" w:eastAsia="仿宋_GB2312" w:cs="仿宋_GB2312"/>
          <w:b/>
          <w:bCs/>
          <w:sz w:val="30"/>
          <w:szCs w:val="30"/>
        </w:rPr>
        <w:t>聚焦数智科幻产业，探讨文科融合赋能新质生产力发展</w:t>
      </w:r>
    </w:p>
    <w:p w14:paraId="369B53BE">
      <w:pPr>
        <w:spacing w:line="460" w:lineRule="exact"/>
        <w:jc w:val="center"/>
        <w:rPr>
          <w:rFonts w:hint="eastAsia" w:ascii="仿宋_GB2312" w:hAnsi="仿宋_GB2312" w:eastAsia="仿宋_GB2312" w:cs="仿宋_GB2312"/>
          <w:sz w:val="24"/>
        </w:rPr>
      </w:pPr>
      <w:r>
        <w:rPr>
          <w:rFonts w:hint="eastAsia" w:ascii="仿宋_GB2312" w:hAnsi="仿宋_GB2312" w:eastAsia="仿宋_GB2312" w:cs="仿宋_GB2312"/>
          <w:sz w:val="24"/>
        </w:rPr>
        <w:t>主题演讲和圆桌讨论环节由联合国教科文组织国际创意与可持续发展中心咨询委员会主席汉斯·道维勒主持</w:t>
      </w:r>
    </w:p>
    <w:p w14:paraId="541D514C">
      <w:pPr>
        <w:spacing w:line="460" w:lineRule="exact"/>
        <w:ind w:firstLine="600" w:firstLineChars="200"/>
        <w:jc w:val="both"/>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在数字时代下，文化产业的内涵和外延不断扩展，包括科幻在内的文化科技融合新业态不断涌现并快速发展。据统计，北京市已落地近800家科幻企业，总营收达480亿元，北京科幻产业加快迈向高质量发展新阶段。因此，要不断从理念和技术层面探索文化科技融合赋能新质生产力发展的新趋势，提升对文化表现形式多样性的新认知，推动数字技术在新兴文化产业中的运用，以跨界协作推动人类社会的可持续发展。</w:t>
      </w:r>
    </w:p>
    <w:p w14:paraId="30040BCD">
      <w:pPr>
        <w:spacing w:line="460" w:lineRule="exact"/>
        <w:ind w:firstLine="600" w:firstLineChars="200"/>
        <w:jc w:val="both"/>
        <w:rPr>
          <w:rFonts w:hint="eastAsia" w:ascii="仿宋_GB2312" w:hAnsi="仿宋_GB2312" w:eastAsia="仿宋_GB2312" w:cs="仿宋_GB2312"/>
          <w:sz w:val="30"/>
          <w:szCs w:val="30"/>
        </w:rPr>
      </w:pPr>
      <w:r>
        <w:rPr>
          <w:rFonts w:hint="eastAsia" w:ascii="仿宋_GB2312" w:hAnsi="仿宋_GB2312" w:eastAsia="仿宋_GB2312" w:cs="仿宋_GB2312"/>
          <w:sz w:val="30"/>
          <w:szCs w:val="30"/>
          <w14:ligatures w14:val="none"/>
        </w:rPr>
        <w:drawing>
          <wp:anchor distT="0" distB="0" distL="114300" distR="114300" simplePos="0" relativeHeight="251665408" behindDoc="0" locked="0" layoutInCell="1" allowOverlap="1">
            <wp:simplePos x="0" y="0"/>
            <wp:positionH relativeFrom="column">
              <wp:posOffset>121920</wp:posOffset>
            </wp:positionH>
            <wp:positionV relativeFrom="paragraph">
              <wp:posOffset>406400</wp:posOffset>
            </wp:positionV>
            <wp:extent cx="5274310" cy="3515360"/>
            <wp:effectExtent l="0" t="0" r="2540" b="8890"/>
            <wp:wrapTopAndBottom/>
            <wp:docPr id="179967014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670142" name="图片 1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3515360"/>
                    </a:xfrm>
                    <a:prstGeom prst="rect">
                      <a:avLst/>
                    </a:prstGeom>
                  </pic:spPr>
                </pic:pic>
              </a:graphicData>
            </a:graphic>
          </wp:anchor>
        </w:drawing>
      </w:r>
    </w:p>
    <w:p w14:paraId="429FB050">
      <w:pPr>
        <w:spacing w:line="460" w:lineRule="exact"/>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世界贸易网点联盟亚太区总干事卡洛琳娜·昆塔娜带来“开拓市场的新路径：创意经济数字化”的演讲，以全球娱乐和媒体产业发展为切入点展望了创意经济发展，建议加强城市间在信息、服务和活动方面的互通以开发联合项目、贸易和投资。</w:t>
      </w:r>
    </w:p>
    <w:p w14:paraId="0E291365">
      <w:pPr>
        <w:spacing w:line="460" w:lineRule="exact"/>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中国移动咪咕新空公司董事长廖智勇，带来“元启未来 幻彩文化”的演讲，介绍了利用人工智能+元宇宙探索文化产业创新发展路径，共建国际技术标准搭建文化传播高速公路的情况。</w:t>
      </w:r>
    </w:p>
    <w:p w14:paraId="0D8303C0">
      <w:pPr>
        <w:spacing w:line="460" w:lineRule="exact"/>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 xml:space="preserve">奥地利林茨电子艺术中心艺术节与展览部总经理维罗妮卡·利布尔以“艺术、科技与社会”为主题，回顾了林茨通过发展新媒体艺术产业实现从“钢铁之城”到“数字艺术之都”的蜕变过程。目前林茨工业与传统制造业、新兴数字产业、创意经济实现了城市创新体系的有机平衡，创业氛围浓厚，平均每17个居民中就有1人开办一家企业。  </w:t>
      </w:r>
    </w:p>
    <w:p w14:paraId="569857F0">
      <w:pPr>
        <w:spacing w:line="460" w:lineRule="exact"/>
        <w:ind w:firstLine="600" w:firstLineChars="200"/>
        <w:rPr>
          <w:rFonts w:ascii="仿宋_GB2312" w:hAnsi="仿宋_GB2312" w:eastAsia="仿宋_GB2312" w:cs="仿宋_GB2312"/>
          <w:sz w:val="30"/>
          <w:szCs w:val="30"/>
        </w:rPr>
      </w:pPr>
    </w:p>
    <w:p w14:paraId="6C63D9B4">
      <w:pPr>
        <w:spacing w:line="460" w:lineRule="exact"/>
        <w:ind w:firstLine="600" w:firstLineChars="200"/>
        <w:rPr>
          <w:rFonts w:ascii="仿宋_GB2312" w:hAnsi="仿宋_GB2312" w:eastAsia="仿宋_GB2312" w:cs="仿宋_GB2312"/>
          <w:sz w:val="30"/>
          <w:szCs w:val="30"/>
        </w:rPr>
      </w:pPr>
      <w:r>
        <w:rPr>
          <w:rFonts w:hint="eastAsia" w:ascii="仿宋_GB2312" w:hAnsi="仿宋_GB2312" w:eastAsia="仿宋_GB2312" w:cs="仿宋_GB2312"/>
          <w:sz w:val="30"/>
          <w:szCs w:val="30"/>
          <w14:ligatures w14:val="none"/>
        </w:rPr>
        <w:drawing>
          <wp:anchor distT="0" distB="0" distL="114300" distR="114300" simplePos="0" relativeHeight="251666432" behindDoc="0" locked="0" layoutInCell="1" allowOverlap="1">
            <wp:simplePos x="0" y="0"/>
            <wp:positionH relativeFrom="margin">
              <wp:posOffset>472440</wp:posOffset>
            </wp:positionH>
            <wp:positionV relativeFrom="paragraph">
              <wp:posOffset>134620</wp:posOffset>
            </wp:positionV>
            <wp:extent cx="4314190" cy="2875915"/>
            <wp:effectExtent l="0" t="0" r="0" b="635"/>
            <wp:wrapTopAndBottom/>
            <wp:docPr id="51733230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332300"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14190" cy="2875915"/>
                    </a:xfrm>
                    <a:prstGeom prst="rect">
                      <a:avLst/>
                    </a:prstGeom>
                  </pic:spPr>
                </pic:pic>
              </a:graphicData>
            </a:graphic>
          </wp:anchor>
        </w:drawing>
      </w:r>
    </w:p>
    <w:p w14:paraId="1475B591">
      <w:pPr>
        <w:spacing w:line="460" w:lineRule="exact"/>
        <w:ind w:firstLine="600" w:firstLineChars="200"/>
        <w:rPr>
          <w:rFonts w:hint="eastAsia" w:ascii="仿宋_GB2312" w:hAnsi="仿宋_GB2312" w:eastAsia="仿宋_GB2312" w:cs="仿宋_GB2312"/>
          <w:sz w:val="30"/>
          <w:szCs w:val="30"/>
        </w:rPr>
      </w:pPr>
      <w:r>
        <w:rPr>
          <w:rFonts w:ascii="仿宋_GB2312" w:hAnsi="仿宋_GB2312" w:eastAsia="仿宋_GB2312" w:cs="仿宋_GB2312"/>
          <w:sz w:val="30"/>
          <w:szCs w:val="30"/>
        </w:rPr>
        <w:t>联合国教科文组织电影艺术与文化多样性教席主持机构北京电影学院数字媒体学院院长刘梦雅</w:t>
      </w:r>
      <w:r>
        <w:rPr>
          <w:rFonts w:hint="eastAsia" w:ascii="仿宋_GB2312" w:hAnsi="仿宋_GB2312" w:eastAsia="仿宋_GB2312" w:cs="仿宋_GB2312"/>
          <w:sz w:val="30"/>
          <w:szCs w:val="30"/>
        </w:rPr>
        <w:t>带来“科影融合赋能文化传承创新”的演讲，介绍了科影融合创新应用以及复合型人才培养的相关情况。</w:t>
      </w:r>
    </w:p>
    <w:p w14:paraId="0BD7C608">
      <w:pPr>
        <w:spacing w:line="460" w:lineRule="exact"/>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14:ligatures w14:val="none"/>
        </w:rPr>
        <w:drawing>
          <wp:anchor distT="0" distB="0" distL="114300" distR="114300" simplePos="0" relativeHeight="251667456" behindDoc="0" locked="0" layoutInCell="1" allowOverlap="1">
            <wp:simplePos x="0" y="0"/>
            <wp:positionH relativeFrom="column">
              <wp:posOffset>76200</wp:posOffset>
            </wp:positionH>
            <wp:positionV relativeFrom="paragraph">
              <wp:posOffset>533400</wp:posOffset>
            </wp:positionV>
            <wp:extent cx="5274310" cy="3515360"/>
            <wp:effectExtent l="0" t="0" r="2540" b="8890"/>
            <wp:wrapTopAndBottom/>
            <wp:docPr id="179633615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336157" name="图片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74310" cy="3515360"/>
                    </a:xfrm>
                    <a:prstGeom prst="rect">
                      <a:avLst/>
                    </a:prstGeom>
                  </pic:spPr>
                </pic:pic>
              </a:graphicData>
            </a:graphic>
          </wp:anchor>
        </w:drawing>
      </w:r>
    </w:p>
    <w:p w14:paraId="76F81449">
      <w:pPr>
        <w:spacing w:line="460" w:lineRule="exact"/>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英国皇家学会工艺院院士李诚带来“数字技术激发文化创意产业新活力”的演讲，介绍了数字技术在创意产业中</w:t>
      </w:r>
      <w:r>
        <w:rPr>
          <w:rFonts w:hint="eastAsia" w:ascii="仿宋_GB2312" w:hAnsi="仿宋_GB2312" w:eastAsia="仿宋_GB2312" w:cs="仿宋_GB2312"/>
          <w:sz w:val="30"/>
          <w:szCs w:val="30"/>
          <w:u w:val="none" w:color="FFFFFF"/>
          <w:shd w:val="clear"/>
        </w:rPr>
        <w:t>心</w:t>
      </w:r>
      <w:r>
        <w:rPr>
          <w:rFonts w:hint="eastAsia" w:ascii="仿宋_GB2312" w:hAnsi="仿宋_GB2312" w:eastAsia="仿宋_GB2312" w:cs="仿宋_GB2312"/>
          <w:sz w:val="30"/>
          <w:szCs w:val="30"/>
        </w:rPr>
        <w:t>的应用演变以及对不同行业的影响，并展望了未来发展趋势。</w:t>
      </w:r>
    </w:p>
    <w:p w14:paraId="40B3F6F4">
      <w:pPr>
        <w:spacing w:line="460" w:lineRule="exact"/>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14:ligatures w14:val="none"/>
        </w:rPr>
        <w:drawing>
          <wp:anchor distT="0" distB="0" distL="114300" distR="114300" simplePos="0" relativeHeight="251661312" behindDoc="0" locked="0" layoutInCell="1" allowOverlap="1">
            <wp:simplePos x="0" y="0"/>
            <wp:positionH relativeFrom="margin">
              <wp:posOffset>-14605</wp:posOffset>
            </wp:positionH>
            <wp:positionV relativeFrom="paragraph">
              <wp:posOffset>2595880</wp:posOffset>
            </wp:positionV>
            <wp:extent cx="5274310" cy="3515360"/>
            <wp:effectExtent l="0" t="0" r="2540" b="8890"/>
            <wp:wrapTopAndBottom/>
            <wp:docPr id="209453592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535929" name="图片 7"/>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74310" cy="3515360"/>
                    </a:xfrm>
                    <a:prstGeom prst="rect">
                      <a:avLst/>
                    </a:prstGeom>
                  </pic:spPr>
                </pic:pic>
              </a:graphicData>
            </a:graphic>
          </wp:anchor>
        </w:drawing>
      </w:r>
      <w:r>
        <w:rPr>
          <w:rFonts w:hint="eastAsia" w:ascii="仿宋_GB2312" w:hAnsi="仿宋_GB2312" w:eastAsia="仿宋_GB2312" w:cs="仿宋_GB2312"/>
          <w:sz w:val="30"/>
          <w:szCs w:val="30"/>
        </w:rPr>
        <w:t>论坛期间，联合国教科文组织国际创意与可持续发展中心咨询委员会主席汉斯·道维勒组织法国Culturespaces集团国际商业发展总监吕克·阿尔尚博、全球文化网络有限责任公司主席梅里·马达沙希、清华大学美术学院信息艺术设计系主任王之纲、四川黑焰影视传媒有限公司创始人邓小辉进行了圆桌对话交流，从实践出发，深入探讨了前沿数字技术对文化新业态发展带来的机会与挑战，展现出对未来数字空间发展趋势的深刻思考与奇幻畅想。</w:t>
      </w:r>
    </w:p>
    <w:p w14:paraId="6396DA8D">
      <w:pPr>
        <w:spacing w:line="460" w:lineRule="exact"/>
        <w:jc w:val="center"/>
        <w:rPr>
          <w:rFonts w:hint="eastAsia" w:ascii="仿宋_GB2312" w:hAnsi="仿宋_GB2312" w:eastAsia="仿宋_GB2312" w:cs="仿宋_GB2312"/>
          <w:sz w:val="30"/>
          <w:szCs w:val="30"/>
        </w:rPr>
      </w:pPr>
      <w:r>
        <w:rPr>
          <w:rFonts w:hint="eastAsia" w:ascii="仿宋_GB2312" w:hAnsi="黑体" w:eastAsia="仿宋_GB2312"/>
          <w:sz w:val="30"/>
          <w:szCs w:val="30"/>
        </w:rPr>
        <w:t>圆桌对话</w:t>
      </w:r>
    </w:p>
    <w:p w14:paraId="4A6A44E9">
      <w:pPr>
        <w:spacing w:line="460" w:lineRule="exact"/>
        <w:rPr>
          <w:rFonts w:hint="eastAsia" w:ascii="仿宋_GB2312" w:hAnsi="仿宋_GB2312" w:eastAsia="仿宋_GB2312" w:cs="仿宋_GB2312"/>
          <w:sz w:val="30"/>
          <w:szCs w:val="30"/>
        </w:rPr>
      </w:pPr>
    </w:p>
    <w:p w14:paraId="6D082827">
      <w:pPr>
        <w:spacing w:line="460" w:lineRule="exact"/>
        <w:jc w:val="both"/>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rPr>
        <w:t>“数字环境下保护与促进文化多样性示范案例”发布</w:t>
      </w:r>
    </w:p>
    <w:p w14:paraId="23275A87">
      <w:pPr>
        <w:spacing w:line="460" w:lineRule="exact"/>
        <w:ind w:firstLine="600" w:firstLineChars="200"/>
        <w:jc w:val="both"/>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2024年，联合国教科文组织国际创意与可持续发展中心开展“数字环境下保护和促进文化多样性示范案例”征集和推荐工作，经专家评议，选出20项文化科技领域典型案例，涉及人工智能、扩展显示、大数据等多个前沿技术领域，汇集了新技术在文化领域创新应用的诸多范例，论坛上发布了相关案例</w:t>
      </w:r>
      <w:r>
        <w:rPr>
          <w:rFonts w:hint="eastAsia" w:ascii="仿宋_GB2312" w:hAnsi="仿宋_GB2312" w:eastAsia="仿宋_GB2312" w:cs="仿宋_GB2312"/>
          <w:sz w:val="30"/>
          <w:szCs w:val="30"/>
          <w:u w:val="none" w:color="FFFFFF"/>
          <w:shd w:val="clear"/>
        </w:rPr>
        <w:t>情况</w:t>
      </w:r>
      <w:r>
        <w:rPr>
          <w:rFonts w:hint="eastAsia" w:ascii="仿宋_GB2312" w:hAnsi="仿宋_GB2312" w:eastAsia="仿宋_GB2312" w:cs="仿宋_GB2312"/>
          <w:sz w:val="30"/>
          <w:szCs w:val="30"/>
        </w:rPr>
        <w:t>。</w:t>
      </w:r>
    </w:p>
    <w:p w14:paraId="2C13D7C4">
      <w:pPr>
        <w:spacing w:line="460" w:lineRule="exact"/>
        <w:ind w:firstLine="600" w:firstLineChars="200"/>
        <w:jc w:val="both"/>
        <w:rPr>
          <w:rFonts w:hint="eastAsia" w:ascii="仿宋_GB2312" w:hAnsi="仿宋_GB2312" w:eastAsia="仿宋_GB2312" w:cs="仿宋_GB2312"/>
          <w:sz w:val="30"/>
          <w:szCs w:val="30"/>
        </w:rPr>
      </w:pPr>
    </w:p>
    <w:p w14:paraId="2EFBDAB3">
      <w:pPr>
        <w:spacing w:line="460" w:lineRule="exact"/>
        <w:rPr>
          <w:rFonts w:hint="eastAsia" w:ascii="仿宋_GB2312" w:hAnsi="仿宋_GB2312" w:eastAsia="仿宋_GB2312" w:cs="仿宋_GB2312"/>
          <w:sz w:val="30"/>
          <w:szCs w:val="30"/>
        </w:rPr>
      </w:pPr>
      <w:r>
        <w:rPr>
          <w:rFonts w:hint="eastAsia" w:ascii="仿宋_GB2312" w:hAnsi="仿宋_GB2312" w:eastAsia="仿宋_GB2312" w:cs="仿宋_GB2312"/>
          <w:b/>
          <w:bCs/>
          <w:sz w:val="30"/>
          <w:szCs w:val="30"/>
        </w:rPr>
        <w:t>引进优质合作资源，积极搭建国际交流平台</w:t>
      </w:r>
    </w:p>
    <w:p w14:paraId="30EDCEC2">
      <w:pPr>
        <w:spacing w:line="460" w:lineRule="exact"/>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论坛结束后，林茨、Culturespaces集团等国际嘉宾与中关村科幻产业创新中心、清华大学美术学院、七九八文化科技有限公司、星光拓诚文化产业集团有限公司、中关村中恒文化科技创新服务联盟等进行了座谈，就打造国际化文化科技项目、人才联合培养等进行了深入交流沟通，探讨未来合作的可能性并走访了首钢园等相关园区和企业。</w:t>
      </w:r>
    </w:p>
    <w:p w14:paraId="1BFDDC58">
      <w:pPr>
        <w:spacing w:line="460" w:lineRule="exact"/>
        <w:jc w:val="both"/>
        <w:rPr>
          <w:rFonts w:hint="eastAsia" w:ascii="仿宋_GB2312" w:hAnsi="仿宋_GB2312" w:eastAsia="仿宋_GB2312" w:cs="仿宋_GB2312"/>
          <w:sz w:val="28"/>
          <w:szCs w:val="28"/>
          <w:highlight w:val="yellow"/>
        </w:rPr>
      </w:pPr>
    </w:p>
    <w:p w14:paraId="70DE3CD9">
      <w:pPr>
        <w:spacing w:line="460" w:lineRule="exact"/>
        <w:rPr>
          <w:rFonts w:hint="eastAsia" w:ascii="仿宋_GB2312" w:hAnsi="仿宋_GB2312" w:eastAsia="仿宋_GB2312" w:cs="仿宋_GB2312"/>
          <w:sz w:val="28"/>
          <w:szCs w:val="28"/>
        </w:rPr>
      </w:pPr>
    </w:p>
    <w:sectPr>
      <w:footerReference r:id="rId5" w:type="default"/>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方正小标宋_GBK">
    <w:panose1 w:val="03000509000000000000"/>
    <w:charset w:val="86"/>
    <w:family w:val="script"/>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C047D5">
    <w:pPr>
      <w:pStyle w:val="12"/>
      <w:rPr>
        <w:rFonts w:hint="eastAsia"/>
      </w:rP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F0B62F8">
                          <w:pPr>
                            <w:pStyle w:val="12"/>
                            <w:rPr>
                              <w:rFonts w:hint="eastAsia"/>
                            </w:rPr>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3F0B62F8">
                    <w:pPr>
                      <w:pStyle w:val="12"/>
                      <w:rPr>
                        <w:rFonts w:hint="eastAsia"/>
                      </w:rPr>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8" w:lineRule="auto"/>
      </w:pPr>
      <w:r>
        <w:separator/>
      </w:r>
    </w:p>
  </w:footnote>
  <w:footnote w:type="continuationSeparator" w:id="1">
    <w:p>
      <w:pPr>
        <w:spacing w:before="0" w:after="0" w:line="278"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doNotDisplayPageBoundaries w:val="1"/>
  <w:bordersDoNotSurroundHeader w:val="1"/>
  <w:bordersDoNotSurroundFooter w:val="1"/>
  <w:trackRevisions w:val="1"/>
  <w:documentProtection w:edit="readOnly"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4214"/>
    <w:rsid w:val="00002869"/>
    <w:rsid w:val="000D2EF6"/>
    <w:rsid w:val="000E3DB5"/>
    <w:rsid w:val="00112072"/>
    <w:rsid w:val="00174361"/>
    <w:rsid w:val="001A2C4D"/>
    <w:rsid w:val="002039F2"/>
    <w:rsid w:val="00203C22"/>
    <w:rsid w:val="003375B7"/>
    <w:rsid w:val="00372C85"/>
    <w:rsid w:val="003D6959"/>
    <w:rsid w:val="0040694F"/>
    <w:rsid w:val="004B2C2A"/>
    <w:rsid w:val="00515C5E"/>
    <w:rsid w:val="005B54E4"/>
    <w:rsid w:val="005E74C1"/>
    <w:rsid w:val="006D2D74"/>
    <w:rsid w:val="00783314"/>
    <w:rsid w:val="007A5185"/>
    <w:rsid w:val="007A551E"/>
    <w:rsid w:val="0083151E"/>
    <w:rsid w:val="008A5419"/>
    <w:rsid w:val="008B007F"/>
    <w:rsid w:val="00947F86"/>
    <w:rsid w:val="00987198"/>
    <w:rsid w:val="00995129"/>
    <w:rsid w:val="009A3E1A"/>
    <w:rsid w:val="00A1677B"/>
    <w:rsid w:val="00A25867"/>
    <w:rsid w:val="00A77105"/>
    <w:rsid w:val="00AA25AE"/>
    <w:rsid w:val="00AB6462"/>
    <w:rsid w:val="00B52151"/>
    <w:rsid w:val="00BF09FC"/>
    <w:rsid w:val="00C01D01"/>
    <w:rsid w:val="00C90F98"/>
    <w:rsid w:val="00C94B66"/>
    <w:rsid w:val="00CD11D4"/>
    <w:rsid w:val="00CD6DBF"/>
    <w:rsid w:val="00CE4214"/>
    <w:rsid w:val="00CF6FBC"/>
    <w:rsid w:val="00D01BB2"/>
    <w:rsid w:val="00D06A06"/>
    <w:rsid w:val="00D3357B"/>
    <w:rsid w:val="00D57F45"/>
    <w:rsid w:val="00DD6413"/>
    <w:rsid w:val="00E12237"/>
    <w:rsid w:val="00E357D0"/>
    <w:rsid w:val="00E65E01"/>
    <w:rsid w:val="00E86EEF"/>
    <w:rsid w:val="00EB57CD"/>
    <w:rsid w:val="00F311CF"/>
    <w:rsid w:val="00F8751A"/>
    <w:rsid w:val="00F95669"/>
    <w:rsid w:val="00FC32A9"/>
    <w:rsid w:val="00FE3626"/>
    <w:rsid w:val="019E4ED3"/>
    <w:rsid w:val="025739FF"/>
    <w:rsid w:val="02670826"/>
    <w:rsid w:val="02693733"/>
    <w:rsid w:val="04657F2A"/>
    <w:rsid w:val="05637B66"/>
    <w:rsid w:val="075D2A9C"/>
    <w:rsid w:val="08D5567E"/>
    <w:rsid w:val="0A84735B"/>
    <w:rsid w:val="0B2B3C7B"/>
    <w:rsid w:val="0B8D2240"/>
    <w:rsid w:val="0DDA3736"/>
    <w:rsid w:val="0E121122"/>
    <w:rsid w:val="0E1D356C"/>
    <w:rsid w:val="10310E08"/>
    <w:rsid w:val="105C48D7"/>
    <w:rsid w:val="10D821AF"/>
    <w:rsid w:val="124E6A14"/>
    <w:rsid w:val="12A53884"/>
    <w:rsid w:val="1323348A"/>
    <w:rsid w:val="1424570B"/>
    <w:rsid w:val="144E09DA"/>
    <w:rsid w:val="15BD5E17"/>
    <w:rsid w:val="162E1420"/>
    <w:rsid w:val="164D719B"/>
    <w:rsid w:val="1A352420"/>
    <w:rsid w:val="1A424B3D"/>
    <w:rsid w:val="1ADD2620"/>
    <w:rsid w:val="1EC5659D"/>
    <w:rsid w:val="1F8D685B"/>
    <w:rsid w:val="201C5BF7"/>
    <w:rsid w:val="2099122F"/>
    <w:rsid w:val="22521696"/>
    <w:rsid w:val="228A52D3"/>
    <w:rsid w:val="23887A65"/>
    <w:rsid w:val="240115C5"/>
    <w:rsid w:val="25A91F14"/>
    <w:rsid w:val="27545EB0"/>
    <w:rsid w:val="27FD02F5"/>
    <w:rsid w:val="28A013AD"/>
    <w:rsid w:val="29017971"/>
    <w:rsid w:val="29491A44"/>
    <w:rsid w:val="29622B06"/>
    <w:rsid w:val="2A077209"/>
    <w:rsid w:val="2A297180"/>
    <w:rsid w:val="2A6603D4"/>
    <w:rsid w:val="2B2362C5"/>
    <w:rsid w:val="2C475FE3"/>
    <w:rsid w:val="2DD45655"/>
    <w:rsid w:val="320F1351"/>
    <w:rsid w:val="333170A5"/>
    <w:rsid w:val="338813BB"/>
    <w:rsid w:val="33F24A86"/>
    <w:rsid w:val="34D643A8"/>
    <w:rsid w:val="379D2F5B"/>
    <w:rsid w:val="397F0B6A"/>
    <w:rsid w:val="39904B26"/>
    <w:rsid w:val="39E3559D"/>
    <w:rsid w:val="3A137505"/>
    <w:rsid w:val="3BE13D5E"/>
    <w:rsid w:val="3C4B2A92"/>
    <w:rsid w:val="3CE04016"/>
    <w:rsid w:val="3CE60F00"/>
    <w:rsid w:val="3DC61E40"/>
    <w:rsid w:val="3E1A70B4"/>
    <w:rsid w:val="3F604F9A"/>
    <w:rsid w:val="401A783F"/>
    <w:rsid w:val="427B20EB"/>
    <w:rsid w:val="441647C1"/>
    <w:rsid w:val="453D1070"/>
    <w:rsid w:val="458F65D9"/>
    <w:rsid w:val="478F466E"/>
    <w:rsid w:val="483671E0"/>
    <w:rsid w:val="488169A9"/>
    <w:rsid w:val="48E924A4"/>
    <w:rsid w:val="48F646F4"/>
    <w:rsid w:val="49033566"/>
    <w:rsid w:val="4A424688"/>
    <w:rsid w:val="4B954AE4"/>
    <w:rsid w:val="4C5B5467"/>
    <w:rsid w:val="4C8C0A39"/>
    <w:rsid w:val="4D2E2B7B"/>
    <w:rsid w:val="4E013DEC"/>
    <w:rsid w:val="4E21448E"/>
    <w:rsid w:val="509653C4"/>
    <w:rsid w:val="568455BA"/>
    <w:rsid w:val="56D77DE0"/>
    <w:rsid w:val="580402F6"/>
    <w:rsid w:val="5AB20948"/>
    <w:rsid w:val="5ACD5782"/>
    <w:rsid w:val="5C6E089F"/>
    <w:rsid w:val="5DA36C6E"/>
    <w:rsid w:val="5DD21301"/>
    <w:rsid w:val="5DEB5F1F"/>
    <w:rsid w:val="5F025C16"/>
    <w:rsid w:val="5FA171DD"/>
    <w:rsid w:val="617F70AA"/>
    <w:rsid w:val="62B31701"/>
    <w:rsid w:val="636447A9"/>
    <w:rsid w:val="6372336A"/>
    <w:rsid w:val="648C045C"/>
    <w:rsid w:val="659333F2"/>
    <w:rsid w:val="66E14363"/>
    <w:rsid w:val="66E20408"/>
    <w:rsid w:val="68284F14"/>
    <w:rsid w:val="69DF102E"/>
    <w:rsid w:val="6CEF77DA"/>
    <w:rsid w:val="6D742180"/>
    <w:rsid w:val="6E7D7067"/>
    <w:rsid w:val="6EDE7B06"/>
    <w:rsid w:val="6F63625D"/>
    <w:rsid w:val="709177BB"/>
    <w:rsid w:val="713A4D9B"/>
    <w:rsid w:val="727644F9"/>
    <w:rsid w:val="7726192C"/>
    <w:rsid w:val="7DC53A8D"/>
    <w:rsid w:val="7ED625A7"/>
    <w:rsid w:val="7F452F1B"/>
    <w:rsid w:val="F3FF8B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 w:type="paragraph" w:styleId="2">
    <w:name w:val="heading 1"/>
    <w:basedOn w:val="1"/>
    <w:next w:val="1"/>
    <w:link w:val="19"/>
    <w:qFormat/>
    <w:uiPriority w:val="9"/>
    <w:pPr>
      <w:keepNext/>
      <w:keepLines/>
      <w:spacing w:before="480" w:after="80"/>
      <w:outlineLvl w:val="0"/>
    </w:pPr>
    <w:rPr>
      <w:rFonts w:asciiTheme="majorHAnsi" w:hAnsiTheme="majorHAnsi" w:eastAsiaTheme="majorEastAsia" w:cstheme="majorBidi"/>
      <w:color w:val="2F5597" w:themeColor="accent1" w:themeShade="BF"/>
      <w:sz w:val="48"/>
      <w:szCs w:val="48"/>
    </w:rPr>
  </w:style>
  <w:style w:type="paragraph" w:styleId="3">
    <w:name w:val="heading 2"/>
    <w:basedOn w:val="1"/>
    <w:next w:val="1"/>
    <w:link w:val="20"/>
    <w:semiHidden/>
    <w:unhideWhenUsed/>
    <w:qFormat/>
    <w:uiPriority w:val="9"/>
    <w:pPr>
      <w:keepNext/>
      <w:keepLines/>
      <w:spacing w:before="160" w:after="80"/>
      <w:outlineLvl w:val="1"/>
    </w:pPr>
    <w:rPr>
      <w:rFonts w:asciiTheme="majorHAnsi" w:hAnsiTheme="majorHAnsi" w:eastAsiaTheme="majorEastAsia" w:cstheme="majorBidi"/>
      <w:color w:val="2F5597" w:themeColor="accent1" w:themeShade="BF"/>
      <w:sz w:val="40"/>
      <w:szCs w:val="40"/>
    </w:rPr>
  </w:style>
  <w:style w:type="paragraph" w:styleId="4">
    <w:name w:val="heading 3"/>
    <w:basedOn w:val="1"/>
    <w:next w:val="1"/>
    <w:link w:val="21"/>
    <w:semiHidden/>
    <w:unhideWhenUsed/>
    <w:qFormat/>
    <w:uiPriority w:val="9"/>
    <w:pPr>
      <w:keepNext/>
      <w:keepLines/>
      <w:spacing w:before="160" w:after="80"/>
      <w:outlineLvl w:val="2"/>
    </w:pPr>
    <w:rPr>
      <w:rFonts w:asciiTheme="majorHAnsi" w:hAnsiTheme="majorHAnsi" w:eastAsiaTheme="majorEastAsia" w:cstheme="majorBidi"/>
      <w:color w:val="2F5597" w:themeColor="accent1" w:themeShade="BF"/>
      <w:sz w:val="32"/>
      <w:szCs w:val="32"/>
    </w:rPr>
  </w:style>
  <w:style w:type="paragraph" w:styleId="5">
    <w:name w:val="heading 4"/>
    <w:basedOn w:val="1"/>
    <w:next w:val="1"/>
    <w:link w:val="22"/>
    <w:semiHidden/>
    <w:unhideWhenUsed/>
    <w:qFormat/>
    <w:uiPriority w:val="9"/>
    <w:pPr>
      <w:keepNext/>
      <w:keepLines/>
      <w:spacing w:before="80" w:after="40"/>
      <w:outlineLvl w:val="3"/>
    </w:pPr>
    <w:rPr>
      <w:rFonts w:cstheme="majorBidi"/>
      <w:color w:val="2F5597" w:themeColor="accent1" w:themeShade="BF"/>
      <w:sz w:val="28"/>
      <w:szCs w:val="28"/>
    </w:rPr>
  </w:style>
  <w:style w:type="paragraph" w:styleId="6">
    <w:name w:val="heading 5"/>
    <w:basedOn w:val="1"/>
    <w:next w:val="1"/>
    <w:link w:val="23"/>
    <w:semiHidden/>
    <w:unhideWhenUsed/>
    <w:qFormat/>
    <w:uiPriority w:val="9"/>
    <w:pPr>
      <w:keepNext/>
      <w:keepLines/>
      <w:spacing w:before="80" w:after="40"/>
      <w:outlineLvl w:val="4"/>
    </w:pPr>
    <w:rPr>
      <w:rFonts w:cstheme="majorBidi"/>
      <w:color w:val="2F5597" w:themeColor="accent1" w:themeShade="BF"/>
      <w:sz w:val="24"/>
    </w:rPr>
  </w:style>
  <w:style w:type="paragraph" w:styleId="7">
    <w:name w:val="heading 6"/>
    <w:basedOn w:val="1"/>
    <w:next w:val="1"/>
    <w:link w:val="24"/>
    <w:semiHidden/>
    <w:unhideWhenUsed/>
    <w:qFormat/>
    <w:uiPriority w:val="9"/>
    <w:pPr>
      <w:keepNext/>
      <w:keepLines/>
      <w:spacing w:before="40" w:after="0"/>
      <w:outlineLvl w:val="5"/>
    </w:pPr>
    <w:rPr>
      <w:rFonts w:cstheme="majorBidi"/>
      <w:b/>
      <w:bCs/>
      <w:color w:val="2F5597" w:themeColor="accent1" w:themeShade="BF"/>
    </w:rPr>
  </w:style>
  <w:style w:type="paragraph" w:styleId="8">
    <w:name w:val="heading 7"/>
    <w:basedOn w:val="1"/>
    <w:next w:val="1"/>
    <w:link w:val="25"/>
    <w:semiHidden/>
    <w:unhideWhenUsed/>
    <w:qFormat/>
    <w:uiPriority w:val="9"/>
    <w:pPr>
      <w:keepNext/>
      <w:keepLines/>
      <w:spacing w:before="40" w:after="0"/>
      <w:outlineLvl w:val="6"/>
    </w:pPr>
    <w:rPr>
      <w:rFonts w:cstheme="majorBidi"/>
      <w:b/>
      <w:bCs/>
      <w:color w:val="595959" w:themeColor="text1" w:themeTint="A6"/>
      <w14:textFill>
        <w14:solidFill>
          <w14:schemeClr w14:val="tx1">
            <w14:lumMod w14:val="65000"/>
            <w14:lumOff w14:val="35000"/>
          </w14:schemeClr>
        </w14:solidFill>
      </w14:textFill>
    </w:rPr>
  </w:style>
  <w:style w:type="paragraph" w:styleId="9">
    <w:name w:val="heading 8"/>
    <w:basedOn w:val="1"/>
    <w:next w:val="1"/>
    <w:link w:val="26"/>
    <w:semiHidden/>
    <w:unhideWhenUsed/>
    <w:qFormat/>
    <w:uiPriority w:val="9"/>
    <w:pPr>
      <w:keepNext/>
      <w:keepLines/>
      <w:spacing w:after="0"/>
      <w:outlineLvl w:val="7"/>
    </w:pPr>
    <w:rPr>
      <w:rFonts w:cstheme="majorBidi"/>
      <w:color w:val="595959" w:themeColor="text1" w:themeTint="A6"/>
      <w14:textFill>
        <w14:solidFill>
          <w14:schemeClr w14:val="tx1">
            <w14:lumMod w14:val="65000"/>
            <w14:lumOff w14:val="35000"/>
          </w14:schemeClr>
        </w14:solidFill>
      </w14:textFill>
    </w:rPr>
  </w:style>
  <w:style w:type="paragraph" w:styleId="10">
    <w:name w:val="heading 9"/>
    <w:basedOn w:val="1"/>
    <w:next w:val="1"/>
    <w:link w:val="27"/>
    <w:semiHidden/>
    <w:unhideWhenUsed/>
    <w:qFormat/>
    <w:uiPriority w:val="9"/>
    <w:pPr>
      <w:keepNext/>
      <w:keepLines/>
      <w:spacing w:after="0"/>
      <w:outlineLvl w:val="8"/>
    </w:pPr>
    <w:rPr>
      <w:rFonts w:eastAsiaTheme="majorEastAsia" w:cstheme="majorBidi"/>
      <w:color w:val="595959" w:themeColor="text1" w:themeTint="A6"/>
      <w14:textFill>
        <w14:solidFill>
          <w14:schemeClr w14:val="tx1">
            <w14:lumMod w14:val="65000"/>
            <w14:lumOff w14:val="35000"/>
          </w14:schemeClr>
        </w14:solidFill>
      </w14:textFill>
    </w:rPr>
  </w:style>
  <w:style w:type="character" w:default="1" w:styleId="17">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11">
    <w:name w:val="annotation text"/>
    <w:basedOn w:val="1"/>
    <w:link w:val="39"/>
    <w:semiHidden/>
    <w:unhideWhenUsed/>
    <w:qFormat/>
    <w:uiPriority w:val="99"/>
  </w:style>
  <w:style w:type="paragraph" w:styleId="12">
    <w:name w:val="footer"/>
    <w:basedOn w:val="1"/>
    <w:link w:val="38"/>
    <w:unhideWhenUsed/>
    <w:qFormat/>
    <w:uiPriority w:val="99"/>
    <w:pPr>
      <w:tabs>
        <w:tab w:val="center" w:pos="4153"/>
        <w:tab w:val="right" w:pos="8306"/>
      </w:tabs>
      <w:snapToGrid w:val="0"/>
      <w:spacing w:line="240" w:lineRule="auto"/>
    </w:pPr>
    <w:rPr>
      <w:sz w:val="18"/>
      <w:szCs w:val="18"/>
    </w:rPr>
  </w:style>
  <w:style w:type="paragraph" w:styleId="13">
    <w:name w:val="header"/>
    <w:basedOn w:val="1"/>
    <w:link w:val="37"/>
    <w:unhideWhenUsed/>
    <w:qFormat/>
    <w:uiPriority w:val="99"/>
    <w:pPr>
      <w:tabs>
        <w:tab w:val="center" w:pos="4153"/>
        <w:tab w:val="right" w:pos="8306"/>
      </w:tabs>
      <w:snapToGrid w:val="0"/>
      <w:spacing w:line="240" w:lineRule="auto"/>
      <w:jc w:val="center"/>
    </w:pPr>
    <w:rPr>
      <w:sz w:val="18"/>
      <w:szCs w:val="18"/>
    </w:rPr>
  </w:style>
  <w:style w:type="paragraph" w:styleId="14">
    <w:name w:val="Subtitle"/>
    <w:basedOn w:val="1"/>
    <w:next w:val="1"/>
    <w:link w:val="29"/>
    <w:qFormat/>
    <w:uiPriority w:val="11"/>
    <w:pPr>
      <w:jc w:val="center"/>
    </w:pPr>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15">
    <w:name w:val="Title"/>
    <w:basedOn w:val="1"/>
    <w:next w:val="1"/>
    <w:link w:val="28"/>
    <w:qFormat/>
    <w:uiPriority w:val="10"/>
    <w:pPr>
      <w:spacing w:after="80" w:line="240" w:lineRule="auto"/>
      <w:contextualSpacing/>
      <w:jc w:val="center"/>
    </w:pPr>
    <w:rPr>
      <w:rFonts w:asciiTheme="majorHAnsi" w:hAnsiTheme="majorHAnsi" w:eastAsiaTheme="majorEastAsia" w:cstheme="majorBidi"/>
      <w:spacing w:val="-10"/>
      <w:kern w:val="28"/>
      <w:sz w:val="56"/>
      <w:szCs w:val="56"/>
    </w:rPr>
  </w:style>
  <w:style w:type="character" w:styleId="18">
    <w:name w:val="annotation reference"/>
    <w:basedOn w:val="17"/>
    <w:semiHidden/>
    <w:unhideWhenUsed/>
    <w:qFormat/>
    <w:uiPriority w:val="99"/>
    <w:rPr>
      <w:sz w:val="21"/>
      <w:szCs w:val="21"/>
    </w:rPr>
  </w:style>
  <w:style w:type="character" w:customStyle="1" w:styleId="19">
    <w:name w:val="标题 1 字符"/>
    <w:basedOn w:val="17"/>
    <w:link w:val="2"/>
    <w:qFormat/>
    <w:uiPriority w:val="9"/>
    <w:rPr>
      <w:rFonts w:asciiTheme="majorHAnsi" w:hAnsiTheme="majorHAnsi" w:eastAsiaTheme="majorEastAsia" w:cstheme="majorBidi"/>
      <w:color w:val="2F5597" w:themeColor="accent1" w:themeShade="BF"/>
      <w:sz w:val="48"/>
      <w:szCs w:val="48"/>
    </w:rPr>
  </w:style>
  <w:style w:type="character" w:customStyle="1" w:styleId="20">
    <w:name w:val="标题 2 字符"/>
    <w:basedOn w:val="17"/>
    <w:link w:val="3"/>
    <w:semiHidden/>
    <w:qFormat/>
    <w:uiPriority w:val="9"/>
    <w:rPr>
      <w:rFonts w:asciiTheme="majorHAnsi" w:hAnsiTheme="majorHAnsi" w:eastAsiaTheme="majorEastAsia" w:cstheme="majorBidi"/>
      <w:color w:val="2F5597" w:themeColor="accent1" w:themeShade="BF"/>
      <w:sz w:val="40"/>
      <w:szCs w:val="40"/>
    </w:rPr>
  </w:style>
  <w:style w:type="character" w:customStyle="1" w:styleId="21">
    <w:name w:val="标题 3 字符"/>
    <w:basedOn w:val="17"/>
    <w:link w:val="4"/>
    <w:semiHidden/>
    <w:qFormat/>
    <w:uiPriority w:val="9"/>
    <w:rPr>
      <w:rFonts w:asciiTheme="majorHAnsi" w:hAnsiTheme="majorHAnsi" w:eastAsiaTheme="majorEastAsia" w:cstheme="majorBidi"/>
      <w:color w:val="2F5597" w:themeColor="accent1" w:themeShade="BF"/>
      <w:sz w:val="32"/>
      <w:szCs w:val="32"/>
    </w:rPr>
  </w:style>
  <w:style w:type="character" w:customStyle="1" w:styleId="22">
    <w:name w:val="标题 4 字符"/>
    <w:basedOn w:val="17"/>
    <w:link w:val="5"/>
    <w:semiHidden/>
    <w:qFormat/>
    <w:uiPriority w:val="9"/>
    <w:rPr>
      <w:rFonts w:cstheme="majorBidi"/>
      <w:color w:val="2F5597" w:themeColor="accent1" w:themeShade="BF"/>
      <w:sz w:val="28"/>
      <w:szCs w:val="28"/>
    </w:rPr>
  </w:style>
  <w:style w:type="character" w:customStyle="1" w:styleId="23">
    <w:name w:val="标题 5 字符"/>
    <w:basedOn w:val="17"/>
    <w:link w:val="6"/>
    <w:semiHidden/>
    <w:qFormat/>
    <w:uiPriority w:val="9"/>
    <w:rPr>
      <w:rFonts w:cstheme="majorBidi"/>
      <w:color w:val="2F5597" w:themeColor="accent1" w:themeShade="BF"/>
      <w:sz w:val="24"/>
    </w:rPr>
  </w:style>
  <w:style w:type="character" w:customStyle="1" w:styleId="24">
    <w:name w:val="标题 6 字符"/>
    <w:basedOn w:val="17"/>
    <w:link w:val="7"/>
    <w:semiHidden/>
    <w:qFormat/>
    <w:uiPriority w:val="9"/>
    <w:rPr>
      <w:rFonts w:cstheme="majorBidi"/>
      <w:b/>
      <w:bCs/>
      <w:color w:val="2F5597" w:themeColor="accent1" w:themeShade="BF"/>
    </w:rPr>
  </w:style>
  <w:style w:type="character" w:customStyle="1" w:styleId="25">
    <w:name w:val="标题 7 字符"/>
    <w:basedOn w:val="17"/>
    <w:link w:val="8"/>
    <w:semiHidden/>
    <w:qFormat/>
    <w:uiPriority w:val="9"/>
    <w:rPr>
      <w:rFonts w:cstheme="majorBidi"/>
      <w:b/>
      <w:bCs/>
      <w:color w:val="595959" w:themeColor="text1" w:themeTint="A6"/>
      <w14:textFill>
        <w14:solidFill>
          <w14:schemeClr w14:val="tx1">
            <w14:lumMod w14:val="65000"/>
            <w14:lumOff w14:val="35000"/>
          </w14:schemeClr>
        </w14:solidFill>
      </w14:textFill>
    </w:rPr>
  </w:style>
  <w:style w:type="character" w:customStyle="1" w:styleId="26">
    <w:name w:val="标题 8 字符"/>
    <w:basedOn w:val="17"/>
    <w:link w:val="9"/>
    <w:semiHidden/>
    <w:qFormat/>
    <w:uiPriority w:val="9"/>
    <w:rPr>
      <w:rFonts w:cstheme="majorBidi"/>
      <w:color w:val="595959" w:themeColor="text1" w:themeTint="A6"/>
      <w14:textFill>
        <w14:solidFill>
          <w14:schemeClr w14:val="tx1">
            <w14:lumMod w14:val="65000"/>
            <w14:lumOff w14:val="35000"/>
          </w14:schemeClr>
        </w14:solidFill>
      </w14:textFill>
    </w:rPr>
  </w:style>
  <w:style w:type="character" w:customStyle="1" w:styleId="27">
    <w:name w:val="标题 9 字符"/>
    <w:basedOn w:val="17"/>
    <w:link w:val="10"/>
    <w:semiHidden/>
    <w:qFormat/>
    <w:uiPriority w:val="9"/>
    <w:rPr>
      <w:rFonts w:eastAsiaTheme="majorEastAsia" w:cstheme="majorBidi"/>
      <w:color w:val="595959" w:themeColor="text1" w:themeTint="A6"/>
      <w14:textFill>
        <w14:solidFill>
          <w14:schemeClr w14:val="tx1">
            <w14:lumMod w14:val="65000"/>
            <w14:lumOff w14:val="35000"/>
          </w14:schemeClr>
        </w14:solidFill>
      </w14:textFill>
    </w:rPr>
  </w:style>
  <w:style w:type="character" w:customStyle="1" w:styleId="28">
    <w:name w:val="标题 字符"/>
    <w:basedOn w:val="17"/>
    <w:link w:val="15"/>
    <w:qFormat/>
    <w:uiPriority w:val="10"/>
    <w:rPr>
      <w:rFonts w:asciiTheme="majorHAnsi" w:hAnsiTheme="majorHAnsi" w:eastAsiaTheme="majorEastAsia" w:cstheme="majorBidi"/>
      <w:spacing w:val="-10"/>
      <w:kern w:val="28"/>
      <w:sz w:val="56"/>
      <w:szCs w:val="56"/>
    </w:rPr>
  </w:style>
  <w:style w:type="character" w:customStyle="1" w:styleId="29">
    <w:name w:val="副标题 字符"/>
    <w:basedOn w:val="17"/>
    <w:link w:val="14"/>
    <w:qFormat/>
    <w:uiPriority w:val="11"/>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30">
    <w:name w:val="Quote"/>
    <w:basedOn w:val="1"/>
    <w:next w:val="1"/>
    <w:link w:val="31"/>
    <w:qFormat/>
    <w:uiPriority w:val="29"/>
    <w:pPr>
      <w:spacing w:before="160"/>
      <w:jc w:val="center"/>
    </w:pPr>
    <w:rPr>
      <w:i/>
      <w:iCs/>
      <w:color w:val="404040" w:themeColor="text1" w:themeTint="BF"/>
      <w14:textFill>
        <w14:solidFill>
          <w14:schemeClr w14:val="tx1">
            <w14:lumMod w14:val="75000"/>
            <w14:lumOff w14:val="25000"/>
          </w14:schemeClr>
        </w14:solidFill>
      </w14:textFill>
    </w:rPr>
  </w:style>
  <w:style w:type="character" w:customStyle="1" w:styleId="31">
    <w:name w:val="引用 字符"/>
    <w:basedOn w:val="17"/>
    <w:link w:val="30"/>
    <w:qFormat/>
    <w:uiPriority w:val="29"/>
    <w:rPr>
      <w:i/>
      <w:iCs/>
      <w:color w:val="404040" w:themeColor="text1" w:themeTint="BF"/>
      <w14:textFill>
        <w14:solidFill>
          <w14:schemeClr w14:val="tx1">
            <w14:lumMod w14:val="75000"/>
            <w14:lumOff w14:val="25000"/>
          </w14:schemeClr>
        </w14:solidFill>
      </w14:textFill>
    </w:rPr>
  </w:style>
  <w:style w:type="paragraph" w:styleId="32">
    <w:name w:val="List Paragraph"/>
    <w:basedOn w:val="1"/>
    <w:qFormat/>
    <w:uiPriority w:val="34"/>
    <w:pPr>
      <w:ind w:left="720"/>
      <w:contextualSpacing/>
    </w:pPr>
  </w:style>
  <w:style w:type="character" w:customStyle="1" w:styleId="33">
    <w:name w:val="明显强调1"/>
    <w:basedOn w:val="17"/>
    <w:qFormat/>
    <w:uiPriority w:val="21"/>
    <w:rPr>
      <w:i/>
      <w:iCs/>
      <w:color w:val="2F5597" w:themeColor="accent1" w:themeShade="BF"/>
    </w:rPr>
  </w:style>
  <w:style w:type="paragraph" w:styleId="34">
    <w:name w:val="Intense Quote"/>
    <w:basedOn w:val="1"/>
    <w:next w:val="1"/>
    <w:link w:val="35"/>
    <w:qFormat/>
    <w:uiPriority w:val="30"/>
    <w:pPr>
      <w:pBdr>
        <w:top w:val="single" w:color="2F5496" w:themeColor="accent1" w:themeShade="BF" w:sz="4" w:space="10"/>
        <w:bottom w:val="single" w:color="2F5496" w:themeColor="accent1" w:themeShade="BF" w:sz="4" w:space="10"/>
      </w:pBdr>
      <w:spacing w:before="360" w:after="360"/>
      <w:ind w:left="864" w:right="864"/>
      <w:jc w:val="center"/>
    </w:pPr>
    <w:rPr>
      <w:i/>
      <w:iCs/>
      <w:color w:val="2F5597" w:themeColor="accent1" w:themeShade="BF"/>
    </w:rPr>
  </w:style>
  <w:style w:type="character" w:customStyle="1" w:styleId="35">
    <w:name w:val="明显引用 字符"/>
    <w:basedOn w:val="17"/>
    <w:link w:val="34"/>
    <w:qFormat/>
    <w:uiPriority w:val="30"/>
    <w:rPr>
      <w:i/>
      <w:iCs/>
      <w:color w:val="2F5597" w:themeColor="accent1" w:themeShade="BF"/>
    </w:rPr>
  </w:style>
  <w:style w:type="character" w:customStyle="1" w:styleId="36">
    <w:name w:val="明显参考1"/>
    <w:basedOn w:val="17"/>
    <w:qFormat/>
    <w:uiPriority w:val="32"/>
    <w:rPr>
      <w:b/>
      <w:bCs/>
      <w:smallCaps/>
      <w:color w:val="2F5597" w:themeColor="accent1" w:themeShade="BF"/>
      <w:spacing w:val="5"/>
    </w:rPr>
  </w:style>
  <w:style w:type="character" w:customStyle="1" w:styleId="37">
    <w:name w:val="页眉 字符"/>
    <w:basedOn w:val="17"/>
    <w:link w:val="13"/>
    <w:qFormat/>
    <w:uiPriority w:val="99"/>
    <w:rPr>
      <w:sz w:val="18"/>
      <w:szCs w:val="18"/>
    </w:rPr>
  </w:style>
  <w:style w:type="character" w:customStyle="1" w:styleId="38">
    <w:name w:val="页脚 字符"/>
    <w:basedOn w:val="17"/>
    <w:link w:val="12"/>
    <w:qFormat/>
    <w:uiPriority w:val="99"/>
    <w:rPr>
      <w:sz w:val="18"/>
      <w:szCs w:val="18"/>
    </w:rPr>
  </w:style>
  <w:style w:type="character" w:customStyle="1" w:styleId="39">
    <w:name w:val="批注文字 字符"/>
    <w:basedOn w:val="17"/>
    <w:link w:val="11"/>
    <w:semiHidden/>
    <w:qFormat/>
    <w:uiPriority w:val="99"/>
  </w:style>
  <w:style w:type="paragraph" w:customStyle="1" w:styleId="40">
    <w:name w:val="_Style 38"/>
    <w:basedOn w:val="1"/>
    <w:next w:val="32"/>
    <w:qFormat/>
    <w:uiPriority w:val="34"/>
    <w:pPr>
      <w:ind w:firstLine="420" w:firstLineChars="200"/>
      <w:jc w:val="both"/>
    </w:pPr>
    <w:rPr>
      <w:rFonts w:cs="Times New Roman"/>
      <w:sz w:val="21"/>
      <w:szCs w:val="22"/>
      <w14:ligatures w14: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2230</Words>
  <Characters>2310</Characters>
  <Lines>16</Lines>
  <Paragraphs>4</Paragraphs>
  <TotalTime>18</TotalTime>
  <ScaleCrop>false</ScaleCrop>
  <LinksUpToDate>false</LinksUpToDate>
  <CharactersWithSpaces>2313</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2025-03-29T17:42:00Z</dcterms:created>
  <dc:creator>ke hu</dc:creator>
  <cp:lastModifiedBy>xll</cp:lastModifiedBy>
  <dcterms:modified xsi:type="dcterms:W3CDTF">2025-03-29T14:23:58Z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eyJoZGlkIjoiZGNhYTY5YmM2OTZiYzhmMWFmNWM1NzQ1YzM5MzBmNzYiLCJ1c2VySWQiOiI5MjAzMzU3MTcifQ==</vt:lpwstr>
  </property>
  <property fmtid="{D5CDD505-2E9C-101B-9397-08002B2CF9AE}" pid="3" name="KSOProductBuildVer">
    <vt:lpwstr>2052-12.1.0.20305</vt:lpwstr>
  </property>
  <property fmtid="{D5CDD505-2E9C-101B-9397-08002B2CF9AE}" pid="4" name="ICV">
    <vt:lpwstr>2EE95C9EB6AA4E6FA03A92F6CD89FA5C_13</vt:lpwstr>
  </property>
  <property fmtid="{D5CDD505-2E9C-101B-9397-08002B2CF9AE}" pid="5" name="historyList">
    <vt:lpwstr>[[{"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5463","errorWord":"开幕式","length":3,"majorClass":"文字差错","majorClassCode":"E001","manufacturer":"方寸","manufacturerCode":"func","offset":546,"originalText":null,"reason":"重点关注词：全局重点关注词","rightWord":null,"source":null,"tagEndIndex":549,"tagStartIndex":546,"zuobian":547,"youbian":550,"colorCode":255,"color":"#ce3e31","zksq":"收起","position":"第2页第6行    ","gaichi":"开幕式 → null            (方寸)","gaichi1":" → ","suggest":{"ignore":true,"modify":false,"showSug":false,"showReason":true,"sug":""},"errorType":"联合国教科文组织东亚多部门地区办事处主任夏泽瀚视频致辞，中国联合国教科文组织全国委员会秘书处副秘书长葛思颖、北京市科学技术委员会、中关村科技园区管理委员会副主任董齐超、北京市石景山区副区长王其志致辞。开幕式由北京科技创新促进中心主任褚潇炜主持。\r","xuanzhongindex":false,"xuanzhongone":true,"oid":"keyfocus0","proofreadLogId":"1905934379176296448","manufacturers":[{"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5463","errorWord":"开幕式","length":3,"majorClass":"文字差错","majorClassCode":"E001","manufacturer":"方寸","manufacturerCode":"func","offset":546,"originalText":null,"reason":"重点关注词：全局重点关注词","rightWord":null,"source":null,"tagEndIndex":549,"tagStartIndex":546,"zuobian":547,"youbian":550,"colorCode":255,"color":"#ce3e31","zksq":"收起","position":"第2页第6行    ","gaichi":"开幕式 → null            (方寸)","gaichi1":" → ","suggest":{"ignore":true,"modify":false,"showSug":false,"showReason":true,"sug":""},"errorType":"联合国教科文组织东亚多部门地区办事处主任夏泽瀚视频致辞，中国联合国教科文组织全国委员会秘书处副秘书长葛思颖、北京市科学技术委员会、中关村科技园区管理委员会副主任董齐超、北京市石景山区副区长王其志致辞。开幕式由北京科技创新促进中心主任褚潇炜主持。\r","xuanzhongindex":false,"xuanzhongone":true,"oid":"keyfocus0","proofreadLogId":"1905934379176296448"},"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xzoptionone":true},{"manufacturer":"方正","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currentItem":{"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bookMarkName":"FunCunProofread5463","errorWord":"开幕式","length":3,"majorClass":"敏感词汇","majorClassCode":"E004","manufacturer":"方正","manufacturerCode":"funz","offset":546,"originalText":null,"reason":"敏感词检查：敏感词类型：涉政敏感词；建议规则：两会开幕用开幕会（出自外接词库-人民日报社）","rightWord":"开幕会","source":"敏感词类型：涉政敏感词；建议规则：两会开幕用开幕会（出自外接词库-人民日报社）","tagEndIndex":549,"tagStartIndex":546,"zuobian":547,"youbian":550,"colorCode":8421376,"color":"#12c3b1","zksq":"收起","position":"第2页第6行    ","gaichi":"开幕式 → 开幕会            (方正)","gaichi1":" → ","suggest":{"ignore":true,"modify":false,"showSug":false,"showReason":true,"sug":""},"errorType":"联合国教科文组织东亚多部门地区办事处主任夏泽瀚视频致辞，中国联合国教科文组织全国委员会秘书处副秘书长葛思颖、北京市科学技术委员会、中关村科技园区管理委员会副主任董齐超、北京市石景山区副区长王其志致辞。开幕式由北京科技创新促进中心主任褚潇炜主持。\r","xuanzhongindex":false,"xuanzhongone":true,"oid":"keyfocus0","proofreadLogId":"1905934379176296448"}}],"manufacturersxlvalue":"方寸","xzoptionone":true,"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manufacturersone":[{"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5463","errorWord":"开幕式","length":3,"majorClass":"文字差错","majorClassCode":"E001","manufacturer":"方寸","manufacturerCode":"func","offset":546,"originalText":null,"reason":"重点关注词：全局重点关注词","rightWord":null,"source":null,"tagEndIndex":549,"tagStartIndex":546,"zuobian":547,"youbian":550,"colorCode":255,"color":"#ce3e31","zksq":"收起","position":"第2页第6行    ","gaichi":"开幕式 → null            (方寸)","gaichi1":" → ","suggest":{"ignore":true,"modify":false,"showSug":false,"showReason":true,"sug":""},"errorType":"联合国教科文组织东亚多部门地区办事处主任夏泽瀚视频致辞，中国联合国教科文组织全国委员会秘书处副秘书长葛思颖、北京市科学技术委员会、中关村科技园区管理委员会副主任董齐超、北京市石景山区副区长王其志致辞。开幕式由北京科技创新促进中心主任褚潇炜主持。\r","xuanzhongindex":false,"xuanzhongone":true,"oid":"keyfocus0","proofreadLogId":"1905934379176296448"},"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xzoptionone":true}},{"manufacturer":"方正","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currentItem":{"manufacturer":"方正","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currentItem":{"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bookMarkName":"FunCunProofread5463","errorWord":"开幕式","length":3,"majorClass":"敏感词汇","majorClassCode":"E004","manufacturer":"方正","manufacturerCode":"funz","offset":546,"originalText":null,"reason":"敏感词检查：敏感词类型：涉政敏感词；建议规则：两会开幕用开幕会（出自外接词库-人民日报社）","rightWord":"开幕会","source":"敏感词类型：涉政敏感词；建议规则：两会开幕用开幕会（出自外接词库-人民日报社）","tagEndIndex":549,"tagStartIndex":546,"zuobian":547,"youbian":550,"colorCode":8421376,"color":"#12c3b1","zksq":"收起","position":"第2页第6行    ","gaichi":"开幕式 → 开幕会            (方正)","gaichi1":" → ","suggest":{"ignore":true,"modify":false,"showSug":false,"showReason":true,"sug":""},"errorType":"联合国教科文组织东亚多部门地区办事处主任夏泽瀚视频致辞，中国联合国教科文组织全国委员会秘书处副秘书长葛思颖、北京市科学技术委员会、中关村科技园区管理委员会副主任董齐超、北京市石景山区副区长王其志致辞。开幕式由北京科技创新促进中心主任褚潇炜主持。\r","xuanzhongindex":false,"xuanzhongone":true,"oid":"keyfocus0","proofreadLogId":"1905934379176296448"}}}]},{"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17671","errorWord":"心","length":1,"majorClass":"文字差错","majorClassCode":"E001","manufacturer":"方寸","manufacturerCode":"func","offset":1767,"originalText":null,"reason":"多字错误：多字错误","rightWord":"","source":null,"tagEndIndex":1768,"tagStartIndex":1767,"zuobian":1774,"youbian":1775,"colorCode":255,"color":"#ce3e31","zksq":"收起","position":"第8页第2行    ","gaichi":"心 →             (方寸)","gaichi1":" → ","suggest":{"ignore":true,"modify":false,"showSug":false,"showReason":true,"sug":""},"errorType":"英国皇家学会工艺院院士李诚带来“数字技术激发文化创意产业新活力”的演讲，介绍了数字技术在创意产业中心的应用演变以及对不同行业的影响，并展望了未来发展趋势。\r","xuanzhongindex":false,"xuanzhongone":true,"oid":"keyfocus0","proofreadLogId":"1905934379176296448","manufacturers":[{"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17671","errorWord":"心","length":1,"majorClass":"文字差错","majorClassCode":"E001","manufacturer":"方寸","manufacturerCode":"func","offset":1767,"originalText":null,"reason":"多字错误：多字错误","rightWord":"","source":null,"tagEndIndex":1768,"tagStartIndex":1767,"zuobian":1774,"youbian":1775,"colorCode":255,"color":"#ce3e31","zksq":"收起","position":"第8页第2行    ","gaichi":"心 →             (方寸)","gaichi1":" → ","suggest":{"ignore":true,"modify":false,"showSug":false,"showReason":true,"sug":""},"errorType":"英国皇家学会工艺院院士李诚带来“数字技术激发文化创意产业新活力”的演讲，介绍了数字技术在创意产业中心的应用演变以及对不同行业的影响，并展望了未来发展趋势。\r","xuanzhongindex":false,"xuanzhongone":true,"oid":"keyfocus0","proofreadLogId":"1905934379176296448"},"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xzoptionone":true}],"manufacturersxlvalue":"方寸","xzoptionone":true,"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manufacturersone":[{"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17671","errorWord":"心","length":1,"majorClass":"文字差错","majorClassCode":"E001","manufacturer":"方寸","manufacturerCode":"func","offset":1767,"originalText":null,"reason":"多字错误：多字错误","rightWord":"","source":null,"tagEndIndex":1768,"tagStartIndex":1767,"zuobian":1774,"youbian":1775,"colorCode":255,"color":"#ce3e31","zksq":"收起","position":"第8页第2行    ","gaichi":"心 →             (方寸)","gaichi1":" → ","suggest":{"ignore":true,"modify":false,"showSug":false,"showReason":true,"sug":""},"errorType":"英国皇家学会工艺院院士李诚带来“数字技术激发文化创意产业新活力”的演讲，介绍了数字技术在创意产业中心的应用演变以及对不同行业的影响，并展望了未来发展趋势。\r","xuanzhongindex":false,"xuanzhongone":true,"oid":"keyfocus0","proofreadLogId":"1905934379176296448"},"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xzoptionone":true}}]},{"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bookMarkName":"FunCunProofread21652","errorWord":"情况","length":2,"majorClass":"文字差错","majorClassCode":"E001","manufacturer":"方正","manufacturerCode":"funz","offset":2165,"originalText":null,"reason":"语法检查","rightWord":"建议删除","source":"","tagEndIndex":2167,"tagStartIndex":2165,"zuobian":2173,"youbian":2175,"colorCode":255,"color":"#ce3e31","zksq":"收起","position":"第9页第4行    ","gaichi":"情况 → 建议删除            (方正)","gaichi1":" → ","suggest":{"ignore":true,"modify":false,"showSug":false,"showReason":true,"sug":""},"errorType":"2024年，联合国教科文组织国际创意与可持续发展中心开展“数字环境下保护和促进文化多样性示范案例”征集和推荐工作，经专家评议，选出20项文化科技领域典型案例，涉及人工智能、扩展显示、大数据等多个前沿技术领域，汇集了新技术在文化领域创新应用的诸多范例，论坛上发布了相关案例情况。\r","xuanzhongindex":false,"xuanzhongone":true,"oid":"keyfocus0","proofreadLogId":"1905934379176296448","manufacturers":[{"manufacturer":"方正","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currentItem":{"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bookMarkName":"FunCunProofread21652","errorWord":"情况","length":2,"majorClass":"文字差错","majorClassCode":"E001","manufacturer":"方正","manufacturerCode":"funz","offset":2165,"originalText":null,"reason":"语法检查","rightWord":"建议删除","source":"","tagEndIndex":2167,"tagStartIndex":2165,"zuobian":2173,"youbian":2175,"colorCode":255,"color":"#ce3e31","zksq":"收起","position":"第9页第4行    ","gaichi":"情况 → 建议删除            (方正)","gaichi1":" → ","suggest":{"ignore":true,"modify":false,"showSug":false,"showReason":true,"sug":""},"errorType":"2024年，联合国教科文组织国际创意与可持续发展中心开展“数字环境下保护和促进文化多样性示范案例”征集和推荐工作，经专家评议，选出20项文化科技领域典型案例，涉及人工智能、扩展显示、大数据等多个前沿技术领域，汇集了新技术在文化领域创新应用的诸多范例，论坛上发布了相关案例情况。\r","xuanzhongindex":false,"xuanzhongone":true,"oid":"keyfocus0","proofreadLogId":"1905934379176296448"},"xzoptionone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xzoptionone":true}],"manufacturersxlvalue":"方正","xzoptionone":true,"xzoptionone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manufacturersone":[{"manufacturer":"方正","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currentItem":{"manufacturer":"方正","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currentItem":{"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bookMarkName":"FunCunProofread21652","errorWord":"情况","length":2,"majorClass":"文字差错","majorClassCode":"E001","manufacturer":"方正","manufacturerCode":"funz","offset":2165,"originalText":null,"reason":"语法检查","rightWord":"建议删除","source":"","tagEndIndex":2167,"tagStartIndex":2165,"zuobian":2173,"youbian":2175,"colorCode":255,"color":"#ce3e31","zksq":"收起","position":"第9页第4行    ","gaichi":"情况 → 建议删除            (方正)","gaichi1":" → ","suggest":{"ignore":true,"modify":false,"showSug":false,"showReason":true,"sug":""},"errorType":"2024年，联合国教科文组织国际创意与可持续发展中心开展“数字环境下保护和促进文化多样性示范案例”征集和推荐工作，经专家评议，选出20项文化科技领域典型案例，涉及人工智能、扩展显示、大数据等多个前沿技术领域，汇集了新技术在文化领域创新应用的诸多范例，论坛上发布了相关案例情况。\r","xuanzhongindex":false,"xuanzhongone":true,"oid":"keyfocus0","proofreadLogId":"1905934379176296448"},"xzoptionone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xzoptionone":tru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5463","errorWord":"开幕式","length":3,"majorClass":"文字差错","majorClassCode":"E001","manufacturer":"方寸","manufacturerCode":"func","offset":546,"originalText":null,"reason":"重点关注词：全局重点关注词","rightWord":null,"source":null,"tagEndIndex":549,"tagStartIndex":546,"zuobian":547,"youbian":550,"colorCode":255,"color":"#ce3e31","zksq":"收起","position":"第2页第6行    ","gaichi":"开幕式 → null            (方寸)","gaichi1":" → ","suggest":{"ignore":true,"modify":false,"showSug":false,"showReason":true,"sug":""},"errorType":"联合国教科文组织东亚多部门地区办事处主任夏泽瀚视频致辞，中国联合国教科文组织全国委员会秘书处副秘书长葛思颖、北京市科学技术委员会、中关村科技园区管理委员会副主任董齐超、北京市石景山区副区长王其志致辞。开幕式由北京科技创新促进中心主任褚潇炜主持。\r","xuanzhongindex":false,"xuanzhongone":true,"oid":"keyfocus0","proofreadLogId":"1905934774808215552","manufacturers":[{"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5463","errorWord":"开幕式","length":3,"majorClass":"文字差错","majorClassCode":"E001","manufacturer":"方寸","manufacturerCode":"func","offset":546,"originalText":null,"reason":"重点关注词：全局重点关注词","rightWord":null,"source":null,"tagEndIndex":549,"tagStartIndex":546,"zuobian":547,"youbian":550,"colorCode":255,"color":"#ce3e31","zksq":"收起","position":"第2页第6行    ","gaichi":"开幕式 → null            (方寸)","gaichi1":" → ","suggest":{"ignore":true,"modify":false,"showSug":false,"showReason":true,"sug":""},"errorType":"联合国教科文组织东亚多部门地区办事处主任夏泽瀚视频致辞，中国联合国教科文组织全国委员会秘书处副秘书长葛思颖、北京市科学技术委员会、中关村科技园区管理委员会副主任董齐超、北京市石景山区副区长王其志致辞。开幕式由北京科技创新促进中心主任褚潇炜主持。\r","xuanzhongindex":false,"xuanzhongone":true,"oid":"keyfocus0","proofreadLogId":"1905934774808215552"},"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xzoptionone":true},{"manufacturer":"方正","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currentItem":{"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bookMarkName":"FunCunProofread5463","errorWord":"开幕式","length":3,"majorClass":"敏感词汇","majorClassCode":"E004","manufacturer":"方正","manufacturerCode":"funz","offset":546,"originalText":null,"reason":"敏感词检查：敏感词类型：涉政敏感词；建议规则：两会开幕用开幕会（出自外接词库-人民日报社）","rightWord":"开幕会","source":"敏感词类型：涉政敏感词；建议规则：两会开幕用开幕会（出自外接词库-人民日报社）","tagEndIndex":549,"tagStartIndex":546,"zuobian":547,"youbian":550,"colorCode":8421376,"color":"#12c3b1","zksq":"收起","position":"第2页第6行    ","gaichi":"开幕式 → 开幕会            (方正)","gaichi1":" → ","suggest":{"ignore":true,"modify":false,"showSug":false,"showReason":true,"sug":""},"errorType":"联合国教科文组织东亚多部门地区办事处主任夏泽瀚视频致辞，中国联合国教科文组织全国委员会秘书处副秘书长葛思颖、北京市科学技术委员会、中关村科技园区管理委员会副主任董齐超、北京市石景山区副区长王其志致辞。开幕式由北京科技创新促进中心主任褚潇炜主持。\r","xuanzhongindex":false,"xuanzhongone":true,"oid":"keyfocus0","proofreadLogId":"1905934774808215552"}}],"manufacturersxlvalue":"方寸","xzoptionone":true,"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manufacturersone":[{"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5463","errorWord":"开幕式","length":3,"majorClass":"文字差错","majorClassCode":"E001","manufacturer":"方寸","manufacturerCode":"func","offset":546,"originalText":null,"reason":"重点关注词：全局重点关注词","rightWord":null,"source":null,"tagEndIndex":549,"tagStartIndex":546,"zuobian":547,"youbian":550,"colorCode":255,"color":"#ce3e31","zksq":"收起","position":"第2页第6行    ","gaichi":"开幕式 → null            (方寸)","gaichi1":" → ","suggest":{"ignore":true,"modify":false,"showSug":false,"showReason":true,"sug":""},"errorType":"联合国教科文组织东亚多部门地区办事处主任夏泽瀚视频致辞，中国联合国教科文组织全国委员会秘书处副秘书长葛思颖、北京市科学技术委员会、中关村科技园区管理委员会副主任董齐超、北京市石景山区副区长王其志致辞。开幕式由北京科技创新促进中心主任褚潇炜主持。\r","xuanzhongindex":false,"xuanzhongone":true,"oid":"keyfocus0","proofreadLogId":"1905934774808215552"},"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xzoptionone":true}},{"manufacturer":"方正","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currentItem":{"manufacturer":"方正","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currentItem":{"img":"data:image/png;base64,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","weight":"0","bookMarkName":"FunCunProofread5463","errorWord":"开幕式","length":3,"majorClass":"敏感词汇","majorClassCode":"E004","manufacturer":"方正","manufacturerCode":"funz","offset":546,"originalText":null,"reason":"敏感词检查：敏感词类型：涉政敏感词；建议规则：两会开幕用开幕会（出自外接词库-人民日报社）","rightWord":"开幕会","source":"敏感词类型：涉政敏感词；建议规则：两会开幕用开幕会（出自外接词库-人民日报社）","tagEndIndex":549,"tagStartIndex":546,"zuobian":547,"youbian":550,"colorCode":8421376,"color":"#12c3b1","zksq":"收起","position":"第2页第6行    ","gaichi":"开幕式 → 开幕会            (方正)","gaichi1":" → ","suggest":{"ignore":true,"modify":false,"showSug":false,"showReason":true,"sug":""},"errorType":"联合国教科文组织东亚多部门地区办事处主任夏泽瀚视频致辞，中国联合国教科文组织全国委员会秘书处副秘书长葛思颖、北京市科学技术委员会、中关村科技园区管理委员会副主任董齐超、北京市石景山区副区长王其志致辞。开幕式由北京科技创新促进中心主任褚潇炜主持。\r","xuanzhongindex":false,"xuanzhongone":true,"oid":"keyfocus0","proofreadLogId":"1905934774808215552"}}}]},{"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17671","errorWord":"心","length":1,"majorClass":"文字差错","majorClassCode":"E001","manufacturer":"方寸","manufacturerCode":"func","offset":1767,"originalText":null,"reason":"多字错误：多字错误","rightWord":"","source":null,"tagEndIndex":1768,"tagStartIndex":1767,"zuobian":1774,"youbian":1775,"colorCode":255,"color":"#ce3e31","zksq":"收起","position":"第8页第2行    ","gaichi":"心 →             (方寸)","gaichi1":" → ","suggest":{"ignore":true,"modify":false,"showSug":false,"showReason":true,"sug":""},"errorType":"英国皇家学会工艺院院士李诚带来“数字技术激发文化创意产业新活力”的演讲，介绍了数字技术在创意产业中心的应用演变以及对不同行业的影响，并展望了未来发展趋势。\r","xuanzhongindex":false,"xuanzhongone":true,"oid":"keyfocus0","proofreadLogId":"1905934774808215552","manufacturers":[{"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17671","errorWord":"心","length":1,"majorClass":"文字差错","majorClassCode":"E001","manufacturer":"方寸","manufacturerCode":"func","offset":1767,"originalText":null,"reason":"多字错误：多字错误","rightWord":"","source":null,"tagEndIndex":1768,"tagStartIndex":1767,"zuobian":1774,"youbian":1775,"colorCode":255,"color":"#ce3e31","zksq":"收起","position":"第8页第2行    ","gaichi":"心 →             (方寸)","gaichi1":" → ","suggest":{"ignore":true,"modify":false,"showSug":false,"showReason":true,"sug":""},"errorType":"英国皇家学会工艺院院士李诚带来“数字技术激发文化创意产业新活力”的演讲，介绍了数字技术在创意产业中心的应用演变以及对不同行业的影响，并展望了未来发展趋势。\r","xuanzhongindex":false,"xuanzhongone":true,"oid":"keyfocus0","proofreadLogId":"1905934774808215552"},"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xzoptionone":true}],"manufacturersxlvalue":"方寸","xzoptionone":true,"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manufacturersone":[{"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manufacturer":"方寸","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currentItem":{"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weight":"0","bookMarkName":"FunCunProofread17671","errorWord":"心","length":1,"majorClass":"文字差错","majorClassCode":"E001","manufacturer":"方寸","manufacturerCode":"func","offset":1767,"originalText":null,"reason":"多字错误：多字错误","rightWord":"","source":null,"tagEndIndex":1768,"tagStartIndex":1767,"zuobian":1774,"youbian":1775,"colorCode":255,"color":"#ce3e31","zksq":"收起","position":"第8页第2行    ","gaichi":"心 →             (方寸)","gaichi1":" → ","suggest":{"ignore":true,"modify":false,"showSug":false,"showReason":true,"sug":""},"errorType":"英国皇家学会工艺院院士李诚带来“数字技术激发文化创意产业新活力”的演讲，介绍了数字技术在创意产业中心的应用演变以及对不同行业的影响，并展望了未来发展趋势。\r","xuanzhongindex":false,"xuanzhongone":true,"oid":"keyfocus0","proofreadLogId":"1905934774808215552"},"xzoptiononeimg":"data:image/png;base64,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","xzoptionone":true}}]}]]</vt:lpwstr>
  </property>
</Properties>
</file>