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16895">
      <w:pPr>
        <w:spacing w:line="600" w:lineRule="exact"/>
        <w:jc w:val="center"/>
        <w:rPr>
          <w:rFonts w:hint="eastAsia" w:ascii="华文中宋" w:hAnsi="华文中宋" w:eastAsia="华文中宋"/>
          <w:b/>
          <w:bCs/>
          <w:sz w:val="36"/>
          <w:szCs w:val="36"/>
        </w:rPr>
      </w:pPr>
      <w:bookmarkStart w:id="0" w:name="_GoBack"/>
      <w:bookmarkEnd w:id="0"/>
    </w:p>
    <w:p w14:paraId="032FBA8D">
      <w:pPr>
        <w:spacing w:line="600" w:lineRule="exact"/>
        <w:jc w:val="center"/>
        <w:rPr>
          <w:rFonts w:hint="eastAsia" w:ascii="华文中宋" w:hAnsi="华文中宋" w:eastAsia="华文中宋"/>
          <w:b/>
          <w:bCs/>
          <w:sz w:val="36"/>
          <w:szCs w:val="36"/>
        </w:rPr>
      </w:pPr>
      <w:r>
        <w:rPr>
          <w:rFonts w:hint="eastAsia" w:ascii="华文中宋" w:hAnsi="华文中宋" w:eastAsia="华文中宋"/>
          <w:b/>
          <w:bCs/>
          <w:sz w:val="36"/>
          <w:szCs w:val="36"/>
        </w:rPr>
        <w:t>环喜马拉雅地球科学国际合作论坛成功举办</w:t>
      </w:r>
    </w:p>
    <w:p w14:paraId="02F96F17">
      <w:pPr>
        <w:spacing w:line="600" w:lineRule="exact"/>
        <w:ind w:firstLine="640" w:firstLineChars="200"/>
        <w:rPr>
          <w:rFonts w:hint="eastAsia" w:ascii="仿宋_GB2312" w:eastAsia="仿宋_GB2312"/>
          <w:sz w:val="32"/>
          <w:szCs w:val="32"/>
        </w:rPr>
      </w:pPr>
    </w:p>
    <w:p w14:paraId="41EE08B4">
      <w:pPr>
        <w:spacing w:line="60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3月28日，2025</w:t>
      </w:r>
      <w:r>
        <w:rPr>
          <w:rFonts w:hint="eastAsia" w:ascii="方正仿宋_GBK" w:hAnsi="方正仿宋_GBK" w:eastAsia="方正仿宋_GBK" w:cs="方正仿宋_GBK"/>
          <w:sz w:val="32"/>
          <w:szCs w:val="32"/>
        </w:rPr>
        <w:t>中关村论坛</w:t>
      </w:r>
      <w:r>
        <w:rPr>
          <w:rFonts w:hint="eastAsia" w:ascii="方正仿宋_GBK" w:hAnsi="方正仿宋_GBK" w:eastAsia="方正仿宋_GBK" w:cs="方正仿宋_GBK"/>
          <w:sz w:val="32"/>
          <w:szCs w:val="32"/>
          <w:lang w:val="en-US" w:eastAsia="zh-CN"/>
        </w:rPr>
        <w:t>年会平行论坛</w:t>
      </w:r>
      <w:r>
        <w:rPr>
          <w:rFonts w:hint="eastAsia" w:ascii="方正仿宋_GBK" w:hAnsi="方正仿宋_GBK" w:eastAsia="方正仿宋_GBK" w:cs="方正仿宋_GBK"/>
          <w:sz w:val="32"/>
          <w:szCs w:val="32"/>
        </w:rPr>
        <w:t>“环喜马拉雅地球科学国际合作”论坛</w:t>
      </w:r>
      <w:r>
        <w:rPr>
          <w:rFonts w:ascii="Times New Roman" w:hAnsi="Times New Roman" w:eastAsia="仿宋_GB2312" w:cs="Times New Roman"/>
          <w:sz w:val="32"/>
          <w:szCs w:val="32"/>
        </w:rPr>
        <w:t>在北京举办。来自</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多个国家的200多名青藏高原研究</w:t>
      </w:r>
      <w:r>
        <w:rPr>
          <w:rFonts w:hint="default" w:ascii="Times New Roman" w:hAnsi="Times New Roman" w:eastAsia="仿宋_GB2312" w:cs="Times New Roman"/>
          <w:sz w:val="32"/>
          <w:szCs w:val="32"/>
          <w:lang w:val="en-US" w:eastAsia="zh-CN"/>
        </w:rPr>
        <w:t>领域的</w:t>
      </w:r>
      <w:r>
        <w:rPr>
          <w:rFonts w:ascii="Times New Roman" w:hAnsi="Times New Roman" w:eastAsia="仿宋_GB2312" w:cs="Times New Roman"/>
          <w:sz w:val="32"/>
          <w:szCs w:val="32"/>
        </w:rPr>
        <w:t>专家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学者参加论坛。</w:t>
      </w:r>
      <w:r>
        <w:rPr>
          <w:rFonts w:ascii="Times New Roman" w:hAnsi="Times New Roman" w:eastAsia="仿宋_GB2312" w:cs="Times New Roman"/>
          <w:color w:val="000000"/>
          <w:sz w:val="32"/>
          <w:szCs w:val="32"/>
        </w:rPr>
        <w:t>此次论坛聚焦人类共同面临的气候变化、生物多样性、生态环境等重大挑战，</w:t>
      </w:r>
      <w:r>
        <w:rPr>
          <w:rFonts w:ascii="Times New Roman" w:hAnsi="Times New Roman" w:eastAsia="仿宋_GB2312" w:cs="Times New Roman"/>
          <w:sz w:val="32"/>
          <w:szCs w:val="32"/>
        </w:rPr>
        <w:t>深入</w:t>
      </w:r>
      <w:r>
        <w:rPr>
          <w:rFonts w:ascii="Times New Roman" w:hAnsi="Times New Roman" w:eastAsia="仿宋_GB2312" w:cs="Times New Roman"/>
          <w:color w:val="000000"/>
          <w:sz w:val="32"/>
          <w:szCs w:val="32"/>
        </w:rPr>
        <w:t>交流环喜马拉雅地球系统科学的观点、实践与思考。</w:t>
      </w:r>
    </w:p>
    <w:p w14:paraId="7829F357">
      <w:pPr>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000000"/>
          <w:sz w:val="32"/>
          <w:szCs w:val="32"/>
        </w:rPr>
        <w:t>论坛指出，</w:t>
      </w:r>
      <w:r>
        <w:rPr>
          <w:rFonts w:hint="eastAsia" w:ascii="Times New Roman" w:hAnsi="Times New Roman" w:eastAsia="仿宋_GB2312"/>
          <w:sz w:val="32"/>
          <w:szCs w:val="32"/>
        </w:rPr>
        <w:t>2025年是第二次青藏科考取得重大进展的关键之年，要聚焦国家重大需求，强化跨专题、跨任务、跨学科交流与综合集成性重大成果产出。</w:t>
      </w:r>
      <w:r>
        <w:rPr>
          <w:rFonts w:hint="eastAsia" w:ascii="Times New Roman" w:hAnsi="Times New Roman" w:eastAsia="仿宋_GB2312" w:cs="Times New Roman"/>
          <w:color w:val="000000"/>
          <w:sz w:val="32"/>
          <w:szCs w:val="32"/>
        </w:rPr>
        <w:t>中国愿与世界各国一道，持续深化青藏高原关键科学问题研究，分享气候变化成果和生态环境保护经验，积极为人类可持续发展贡献中国智慧和中国方案。</w:t>
      </w:r>
    </w:p>
    <w:p w14:paraId="6AE9504F">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第二次青藏科考队队长姚檀栋院士介绍了亚洲水塔冰川正在快速融化的现状，提出气候变化下的冰川变化</w:t>
      </w:r>
      <w:r>
        <w:rPr>
          <w:rFonts w:hint="eastAsia" w:ascii="Times New Roman" w:hAnsi="Times New Roman" w:eastAsia="仿宋_GB2312" w:cs="Times New Roman"/>
          <w:sz w:val="32"/>
          <w:szCs w:val="32"/>
        </w:rPr>
        <w:t>研究</w:t>
      </w:r>
      <w:r>
        <w:rPr>
          <w:rFonts w:ascii="Times New Roman" w:hAnsi="Times New Roman" w:eastAsia="仿宋_GB2312" w:cs="Times New Roman"/>
          <w:sz w:val="32"/>
          <w:szCs w:val="32"/>
        </w:rPr>
        <w:t>需要联合国际科技力量</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跨学科合作</w:t>
      </w:r>
      <w:r>
        <w:rPr>
          <w:rFonts w:hint="eastAsia" w:ascii="Times New Roman" w:hAnsi="Times New Roman" w:eastAsia="仿宋_GB2312" w:cs="Times New Roman"/>
          <w:sz w:val="32"/>
          <w:szCs w:val="32"/>
        </w:rPr>
        <w:t>、聚焦地方发展</w:t>
      </w:r>
      <w:r>
        <w:rPr>
          <w:rFonts w:ascii="Times New Roman" w:hAnsi="Times New Roman" w:eastAsia="仿宋_GB2312" w:cs="Times New Roman"/>
          <w:sz w:val="32"/>
          <w:szCs w:val="32"/>
        </w:rPr>
        <w:t>需求和人民福祉</w:t>
      </w:r>
      <w:r>
        <w:rPr>
          <w:rFonts w:hint="eastAsia" w:ascii="Times New Roman" w:hAnsi="Times New Roman" w:eastAsia="仿宋_GB2312" w:cs="Times New Roman"/>
          <w:sz w:val="32"/>
          <w:szCs w:val="32"/>
          <w:lang w:eastAsia="zh-CN"/>
        </w:rPr>
        <w:t>做好</w:t>
      </w:r>
      <w:r>
        <w:rPr>
          <w:rFonts w:ascii="Times New Roman" w:hAnsi="Times New Roman" w:eastAsia="仿宋_GB2312" w:cs="Times New Roman"/>
          <w:sz w:val="32"/>
          <w:szCs w:val="32"/>
        </w:rPr>
        <w:t>决策建议</w:t>
      </w:r>
      <w:r>
        <w:rPr>
          <w:rFonts w:hint="eastAsia" w:ascii="Times New Roman" w:hAnsi="Times New Roman" w:eastAsia="仿宋_GB2312" w:cs="Times New Roman"/>
          <w:sz w:val="32"/>
          <w:szCs w:val="32"/>
        </w:rPr>
        <w:t>。</w:t>
      </w:r>
    </w:p>
    <w:p w14:paraId="37849C13">
      <w:pPr>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来自</w:t>
      </w:r>
      <w:r>
        <w:rPr>
          <w:rFonts w:hint="eastAsia" w:ascii="Times New Roman" w:hAnsi="Times New Roman" w:eastAsia="仿宋_GB2312" w:cs="Times New Roman"/>
          <w:color w:val="000000"/>
          <w:sz w:val="32"/>
          <w:szCs w:val="32"/>
        </w:rPr>
        <w:t>清华大学、中国科学院地理科学与资源研究所</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德国森肯伯格研究所</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巴基斯坦白沙瓦大学</w:t>
      </w:r>
      <w:r>
        <w:rPr>
          <w:rFonts w:hint="eastAsia" w:ascii="Times New Roman" w:hAnsi="Times New Roman" w:eastAsia="仿宋_GB2312" w:cs="Times New Roman"/>
          <w:color w:val="000000"/>
          <w:sz w:val="32"/>
          <w:szCs w:val="32"/>
          <w:lang w:eastAsia="zh-CN"/>
        </w:rPr>
        <w:t>、</w:t>
      </w:r>
      <w:r>
        <w:rPr>
          <w:rFonts w:hint="eastAsia" w:ascii="仿宋_GB2312" w:eastAsia="仿宋_GB2312"/>
          <w:sz w:val="32"/>
          <w:szCs w:val="32"/>
        </w:rPr>
        <w:t>乌兹别克斯坦科学院植物研究所</w:t>
      </w:r>
      <w:r>
        <w:rPr>
          <w:rFonts w:hint="eastAsia" w:ascii="仿宋_GB2312" w:eastAsia="仿宋_GB2312"/>
          <w:sz w:val="32"/>
          <w:szCs w:val="32"/>
          <w:lang w:eastAsia="zh-CN"/>
        </w:rPr>
        <w:t>、</w:t>
      </w:r>
      <w:r>
        <w:rPr>
          <w:rFonts w:hint="eastAsia" w:ascii="Times New Roman" w:hAnsi="Times New Roman" w:eastAsia="仿宋_GB2312" w:cs="Times New Roman"/>
          <w:color w:val="000000"/>
          <w:sz w:val="32"/>
          <w:szCs w:val="32"/>
        </w:rPr>
        <w:t>中国科学院青藏高原研究所</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rPr>
        <w:t>尼泊尔特里布文大学</w:t>
      </w:r>
      <w:r>
        <w:rPr>
          <w:rFonts w:hint="eastAsia" w:ascii="Times New Roman" w:hAnsi="Times New Roman" w:eastAsia="仿宋_GB2312" w:cs="Times New Roman"/>
          <w:color w:val="000000"/>
          <w:sz w:val="32"/>
          <w:szCs w:val="32"/>
          <w:lang w:eastAsia="zh-CN"/>
        </w:rPr>
        <w:t>的</w:t>
      </w:r>
      <w:r>
        <w:rPr>
          <w:rFonts w:hint="eastAsia" w:ascii="Times New Roman" w:hAnsi="Times New Roman" w:eastAsia="仿宋_GB2312" w:cs="Times New Roman"/>
          <w:color w:val="000000"/>
          <w:sz w:val="32"/>
          <w:szCs w:val="32"/>
          <w:lang w:val="en-US" w:eastAsia="zh-CN"/>
        </w:rPr>
        <w:t>7位专家学者</w:t>
      </w:r>
      <w:r>
        <w:rPr>
          <w:rFonts w:hint="eastAsia" w:ascii="Times New Roman" w:hAnsi="Times New Roman" w:eastAsia="仿宋_GB2312" w:cs="Times New Roman"/>
          <w:color w:val="000000"/>
          <w:sz w:val="32"/>
          <w:szCs w:val="32"/>
        </w:rPr>
        <w:t>分享了环喜马拉雅气候变化、灾害风险防控、生物多样性、全球联动等方面的成果。</w:t>
      </w:r>
    </w:p>
    <w:p w14:paraId="6C98A630">
      <w:pPr>
        <w:pStyle w:val="2"/>
        <w:ind w:firstLine="640" w:firstLineChars="200"/>
      </w:pPr>
      <w:r>
        <w:rPr>
          <w:rFonts w:ascii="Times New Roman" w:hAnsi="Times New Roman" w:eastAsia="仿宋_GB2312" w:cs="Times New Roman"/>
          <w:sz w:val="32"/>
          <w:szCs w:val="32"/>
        </w:rPr>
        <w:t>本次论坛由科学技术部、中国科学院主办，科学技术部四司、中国科学院可持续发展研究局、国家科技基础条件平台中心、中国科学院青藏高原研究所承办。</w:t>
      </w:r>
    </w:p>
    <w:p w14:paraId="41CEB2C1">
      <w:pPr>
        <w:jc w:val="center"/>
        <w:rPr>
          <w:rFonts w:hint="eastAsia" w:eastAsiaTheme="minorEastAsia"/>
          <w:lang w:eastAsia="zh"/>
        </w:rPr>
      </w:pPr>
      <w:r>
        <w:rPr>
          <w:sz w:val="32"/>
          <w:szCs w:val="32"/>
          <w:u w:val="none" w:color="FFFFFF"/>
          <w:shd w:val="clear"/>
        </w:rPr>
        <w:drawing>
          <wp:inline distT="0" distB="0" distL="0" distR="0">
            <wp:extent cx="5274310" cy="3514090"/>
            <wp:effectExtent l="0" t="0" r="2540" b="0"/>
            <wp:docPr id="17734631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63111"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310" cy="3514090"/>
                    </a:xfrm>
                    <a:prstGeom prst="rect">
                      <a:avLst/>
                    </a:prstGeom>
                    <a:noFill/>
                    <a:ln>
                      <a:noFill/>
                    </a:ln>
                  </pic:spPr>
                </pic:pic>
              </a:graphicData>
            </a:graphic>
          </wp:inline>
        </w:drawing>
      </w:r>
    </w:p>
    <w:p w14:paraId="54261EC7">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论坛现场</w:t>
      </w:r>
    </w:p>
    <w:p w14:paraId="62CBC3B3">
      <w:pPr>
        <w:pStyle w:val="3"/>
        <w:ind w:firstLine="0" w:firstLineChars="0"/>
        <w:jc w:val="cente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0704B">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E3C73">
                          <w:pPr>
                            <w:pStyle w:val="13"/>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0E3C73">
                    <w:pPr>
                      <w:pStyle w:val="13"/>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40"/>
    <w:rsid w:val="000463B4"/>
    <w:rsid w:val="00082257"/>
    <w:rsid w:val="000C6FF9"/>
    <w:rsid w:val="00145A1C"/>
    <w:rsid w:val="0021578D"/>
    <w:rsid w:val="0022330E"/>
    <w:rsid w:val="00237894"/>
    <w:rsid w:val="00362B9C"/>
    <w:rsid w:val="003A6368"/>
    <w:rsid w:val="003C70F8"/>
    <w:rsid w:val="004978B1"/>
    <w:rsid w:val="005368A4"/>
    <w:rsid w:val="005A18EA"/>
    <w:rsid w:val="005A43EB"/>
    <w:rsid w:val="0060460A"/>
    <w:rsid w:val="006318D5"/>
    <w:rsid w:val="006C66E2"/>
    <w:rsid w:val="006D0CA5"/>
    <w:rsid w:val="0070664C"/>
    <w:rsid w:val="00724440"/>
    <w:rsid w:val="00733B8E"/>
    <w:rsid w:val="00775697"/>
    <w:rsid w:val="007D15F6"/>
    <w:rsid w:val="008547E3"/>
    <w:rsid w:val="00891260"/>
    <w:rsid w:val="00900CED"/>
    <w:rsid w:val="00935984"/>
    <w:rsid w:val="00AD16AE"/>
    <w:rsid w:val="00B84893"/>
    <w:rsid w:val="00B95041"/>
    <w:rsid w:val="00BD40A5"/>
    <w:rsid w:val="00C551F5"/>
    <w:rsid w:val="00D058E5"/>
    <w:rsid w:val="00D54A70"/>
    <w:rsid w:val="00D97BD4"/>
    <w:rsid w:val="00DF0AEC"/>
    <w:rsid w:val="00E234DB"/>
    <w:rsid w:val="00E2551C"/>
    <w:rsid w:val="00E75CC6"/>
    <w:rsid w:val="00E76117"/>
    <w:rsid w:val="00F1512A"/>
    <w:rsid w:val="00F2339F"/>
    <w:rsid w:val="19FF2974"/>
    <w:rsid w:val="1FAD903A"/>
    <w:rsid w:val="2EFF1288"/>
    <w:rsid w:val="36FA37CB"/>
    <w:rsid w:val="3E7FE8F0"/>
    <w:rsid w:val="3EF5EB54"/>
    <w:rsid w:val="43F553E4"/>
    <w:rsid w:val="4B254E97"/>
    <w:rsid w:val="4F551587"/>
    <w:rsid w:val="5BFFBEC1"/>
    <w:rsid w:val="605F69A6"/>
    <w:rsid w:val="6BD5C5C3"/>
    <w:rsid w:val="6E7AF95F"/>
    <w:rsid w:val="71920862"/>
    <w:rsid w:val="7A7FAF68"/>
    <w:rsid w:val="7CDF2AA9"/>
    <w:rsid w:val="7DFF3240"/>
    <w:rsid w:val="7EF5B633"/>
    <w:rsid w:val="7F1DF42F"/>
    <w:rsid w:val="7F678E95"/>
    <w:rsid w:val="7F7C1575"/>
    <w:rsid w:val="7FF8DF62"/>
    <w:rsid w:val="7FFF4851"/>
    <w:rsid w:val="BED7D6CC"/>
    <w:rsid w:val="CF9E11D3"/>
    <w:rsid w:val="DDBF99BB"/>
    <w:rsid w:val="DDFF85BA"/>
    <w:rsid w:val="DEBFFC37"/>
    <w:rsid w:val="DFFFAB0B"/>
    <w:rsid w:val="E4EF908B"/>
    <w:rsid w:val="EFF91D79"/>
    <w:rsid w:val="F3D61C72"/>
    <w:rsid w:val="F7CF6E24"/>
    <w:rsid w:val="FBD7C5CC"/>
    <w:rsid w:val="FD57B972"/>
    <w:rsid w:val="FD66B7D5"/>
    <w:rsid w:val="FFFA86D5"/>
    <w:rsid w:val="FFFF8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styleId="4">
    <w:name w:val="heading 1"/>
    <w:basedOn w:val="1"/>
    <w:next w:val="1"/>
    <w:link w:val="19"/>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0"/>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1"/>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2"/>
    <w:semiHidden/>
    <w:unhideWhenUsed/>
    <w:qFormat/>
    <w:uiPriority w:val="9"/>
    <w:pPr>
      <w:keepNext/>
      <w:keepLines/>
      <w:spacing w:before="80" w:after="40" w:line="278" w:lineRule="auto"/>
      <w:jc w:val="left"/>
      <w:outlineLvl w:val="3"/>
    </w:pPr>
    <w:rPr>
      <w:rFonts w:cstheme="majorBidi"/>
      <w:color w:val="2F5597" w:themeColor="accent1" w:themeShade="BF"/>
      <w:sz w:val="28"/>
      <w:szCs w:val="28"/>
    </w:rPr>
  </w:style>
  <w:style w:type="paragraph" w:styleId="8">
    <w:name w:val="heading 5"/>
    <w:basedOn w:val="1"/>
    <w:next w:val="1"/>
    <w:link w:val="23"/>
    <w:semiHidden/>
    <w:unhideWhenUsed/>
    <w:qFormat/>
    <w:uiPriority w:val="9"/>
    <w:pPr>
      <w:keepNext/>
      <w:keepLines/>
      <w:spacing w:before="80" w:after="40" w:line="278" w:lineRule="auto"/>
      <w:jc w:val="left"/>
      <w:outlineLvl w:val="4"/>
    </w:pPr>
    <w:rPr>
      <w:rFonts w:cstheme="majorBidi"/>
      <w:color w:val="2F5597" w:themeColor="accent1" w:themeShade="BF"/>
      <w:sz w:val="24"/>
      <w:szCs w:val="24"/>
    </w:rPr>
  </w:style>
  <w:style w:type="paragraph" w:styleId="9">
    <w:name w:val="heading 6"/>
    <w:basedOn w:val="1"/>
    <w:next w:val="1"/>
    <w:link w:val="24"/>
    <w:semiHidden/>
    <w:unhideWhenUsed/>
    <w:qFormat/>
    <w:uiPriority w:val="9"/>
    <w:pPr>
      <w:keepNext/>
      <w:keepLines/>
      <w:spacing w:before="40" w:line="278" w:lineRule="auto"/>
      <w:jc w:val="left"/>
      <w:outlineLvl w:val="5"/>
    </w:pPr>
    <w:rPr>
      <w:rFonts w:cstheme="majorBidi"/>
      <w:b/>
      <w:bCs/>
      <w:color w:val="2F5597" w:themeColor="accent1" w:themeShade="BF"/>
      <w:sz w:val="22"/>
      <w:szCs w:val="24"/>
    </w:rPr>
  </w:style>
  <w:style w:type="paragraph" w:styleId="10">
    <w:name w:val="heading 7"/>
    <w:basedOn w:val="1"/>
    <w:next w:val="1"/>
    <w:link w:val="25"/>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Indent"/>
    <w:basedOn w:val="1"/>
    <w:qFormat/>
    <w:uiPriority w:val="99"/>
    <w:pPr>
      <w:ind w:left="-2" w:leftChars="-1" w:firstLine="462" w:firstLineChars="165"/>
    </w:pPr>
    <w:rPr>
      <w:sz w:val="28"/>
    </w:rPr>
  </w:style>
  <w:style w:type="paragraph" w:styleId="13">
    <w:name w:val="footer"/>
    <w:basedOn w:val="1"/>
    <w:link w:val="38"/>
    <w:unhideWhenUsed/>
    <w:qFormat/>
    <w:uiPriority w:val="99"/>
    <w:pPr>
      <w:tabs>
        <w:tab w:val="center" w:pos="4153"/>
        <w:tab w:val="right" w:pos="8306"/>
      </w:tabs>
      <w:snapToGrid w:val="0"/>
      <w:spacing w:after="160"/>
      <w:jc w:val="left"/>
    </w:pPr>
    <w:rPr>
      <w:sz w:val="18"/>
      <w:szCs w:val="18"/>
    </w:rPr>
  </w:style>
  <w:style w:type="paragraph" w:styleId="14">
    <w:name w:val="header"/>
    <w:basedOn w:val="1"/>
    <w:link w:val="37"/>
    <w:unhideWhenUsed/>
    <w:qFormat/>
    <w:uiPriority w:val="99"/>
    <w:pPr>
      <w:tabs>
        <w:tab w:val="center" w:pos="4153"/>
        <w:tab w:val="right" w:pos="8306"/>
      </w:tabs>
      <w:snapToGrid w:val="0"/>
      <w:spacing w:after="160"/>
      <w:jc w:val="center"/>
    </w:pPr>
    <w:rPr>
      <w:sz w:val="18"/>
      <w:szCs w:val="18"/>
    </w:rPr>
  </w:style>
  <w:style w:type="paragraph" w:styleId="15">
    <w:name w:val="Subtitle"/>
    <w:basedOn w:val="1"/>
    <w:next w:val="1"/>
    <w:link w:val="29"/>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4"/>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7"/>
    <w:semiHidden/>
    <w:qFormat/>
    <w:uiPriority w:val="9"/>
    <w:rPr>
      <w:rFonts w:cstheme="majorBidi"/>
      <w:color w:val="2F5597" w:themeColor="accent1" w:themeShade="BF"/>
      <w:sz w:val="28"/>
      <w:szCs w:val="28"/>
    </w:rPr>
  </w:style>
  <w:style w:type="character" w:customStyle="1" w:styleId="23">
    <w:name w:val="标题 5 字符"/>
    <w:basedOn w:val="18"/>
    <w:link w:val="8"/>
    <w:semiHidden/>
    <w:qFormat/>
    <w:uiPriority w:val="9"/>
    <w:rPr>
      <w:rFonts w:cstheme="majorBidi"/>
      <w:color w:val="2F5597" w:themeColor="accent1" w:themeShade="BF"/>
      <w:sz w:val="24"/>
    </w:rPr>
  </w:style>
  <w:style w:type="character" w:customStyle="1" w:styleId="24">
    <w:name w:val="标题 6 字符"/>
    <w:basedOn w:val="18"/>
    <w:link w:val="9"/>
    <w:semiHidden/>
    <w:qFormat/>
    <w:uiPriority w:val="9"/>
    <w:rPr>
      <w:rFonts w:cstheme="majorBidi"/>
      <w:b/>
      <w:bCs/>
      <w:color w:val="2F5597" w:themeColor="accent1" w:themeShade="BF"/>
    </w:rPr>
  </w:style>
  <w:style w:type="character" w:customStyle="1" w:styleId="25">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spacing w:after="160" w:line="278" w:lineRule="auto"/>
      <w:ind w:left="720"/>
      <w:contextualSpacing/>
      <w:jc w:val="left"/>
    </w:pPr>
    <w:rPr>
      <w:sz w:val="22"/>
      <w:szCs w:val="24"/>
    </w:r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character" w:customStyle="1" w:styleId="37">
    <w:name w:val="页眉 字符"/>
    <w:basedOn w:val="18"/>
    <w:link w:val="14"/>
    <w:qFormat/>
    <w:uiPriority w:val="99"/>
    <w:rPr>
      <w:sz w:val="18"/>
      <w:szCs w:val="18"/>
    </w:rPr>
  </w:style>
  <w:style w:type="character" w:customStyle="1" w:styleId="38">
    <w:name w:val="页脚 字符"/>
    <w:basedOn w:val="18"/>
    <w:link w:val="13"/>
    <w:qFormat/>
    <w:uiPriority w:val="99"/>
    <w:rPr>
      <w:sz w:val="18"/>
      <w:szCs w:val="18"/>
    </w:rPr>
  </w:style>
  <w:style w:type="paragraph" w:customStyle="1" w:styleId="39">
    <w:name w:val="修订1"/>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563</Words>
  <Characters>573</Characters>
  <Lines>6</Lines>
  <Paragraphs>1</Paragraphs>
  <TotalTime>38</TotalTime>
  <ScaleCrop>false</ScaleCrop>
  <LinksUpToDate>false</LinksUpToDate>
  <CharactersWithSpaces>573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2025-03-28T01:18:00Z</dcterms:created>
  <dc:creator>燕红 郭</dc:creator>
  <cp:lastModifiedBy>xll</cp:lastModifiedBy>
  <cp:lastPrinted>2025-03-29T19:12:00Z</cp:lastPrinted>
  <dcterms:modified xsi:type="dcterms:W3CDTF">2025-03-28T13:38:15Z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1626","errorWord":"习近平总书记","length":6,"majorClass":"重要领导","majorClassCode":"E002","manufacturer":"方正","manufacturerCode":"funz","offset":162,"originalText":null,"reason":"提及政要：敏感词类型：提及领导人（出自外接词库）","rightWord":"最常用的表述（在外事等特殊场合需做具体调整）","source":"敏感词类型：提及领导人（出自外接词库）","tagEndIndex":168,"tagStartIndex":162,"zuobian":161,"youbian":167,"colorCode":16711680,"color":"#3e81e7","zksq":"收起","position":"第1页第10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1626","errorWord":"习近平总书记","length":6,"majorClass":"重要领导","majorClassCode":"E002","manufacturer":"方正","manufacturerCode":"funz","offset":162,"originalText":null,"reason":"提及政要：敏感词类型：提及领导人（出自外接词库）","rightWord":"最常用的表述（在外事等特殊场合需做具体调整）","source":"敏感词类型：提及领导人（出自外接词库）","tagEndIndex":168,"tagStartIndex":162,"zuobian":161,"youbian":167,"colorCode":16711680,"color":"#3e81e7","zksq":"收起","position":"第1页第10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1626","errorWord":"习近平总书记","length":6,"majorClass":"重要领导","majorClassCode":"E002","manufacturer":"方正","manufacturerCode":"funz","offset":162,"originalText":null,"reason":"提及政要：敏感词类型：提及领导人（出自外接词库）","rightWord":"最常用的表述（在外事等特殊场合需做具体调整）","source":"敏感词类型：提及领导人（出自外接词库）","tagEndIndex":168,"tagStartIndex":162,"zuobian":161,"youbian":167,"colorCode":16711680,"color":"#3e81e7","zksq":"收起","position":"第1页第10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errorWord":"习近平总书记","length":6,"majorClass":"重要领导","majorClassCode":"E002","manufacturer":"方正","manufacturerCode":"funz","offset":207,"originalText":null,"reason":"提及政要：敏感词类型：提及领导人（出自外接词库）","rightWord":"最常用的表述（在外事等特殊场合需做具体调整）","source":"敏感词类型：提及领导人（出自外接词库）","tagEndIndex":213,"tagStartIndex":207,"zuobian":206,"youbian":212,"colorCode":16711680,"color":"#3e81e7","zksq":"收起","position":"第1页第11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errorWord":"习近平总书记","length":6,"majorClass":"重要领导","majorClassCode":"E002","manufacturer":"方正","manufacturerCode":"funz","offset":207,"originalText":null,"reason":"提及政要：敏感词类型：提及领导人（出自外接词库）","rightWord":"最常用的表述（在外事等特殊场合需做具体调整）","source":"敏感词类型：提及领导人（出自外接词库）","tagEndIndex":213,"tagStartIndex":207,"zuobian":206,"youbian":212,"colorCode":16711680,"color":"#3e81e7","zksq":"收起","position":"第1页第11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2076","errorWord":"习近平总书记","length":6,"majorClass":"重要领导","majorClassCode":"E002","manufacturer":"方正","manufacturerCode":"funz","offset":207,"originalText":null,"reason":"提及政要：敏感词类型：提及领导人（出自外接词库）","rightWord":"最常用的表述（在外事等特殊场合需做具体调整）","source":"敏感词类型：提及领导人（出自外接词库）","tagEndIndex":213,"tagStartIndex":207,"zuobian":206,"youbian":212,"colorCode":16711680,"color":"#3e81e7","zksq":"收起","position":"第1页第11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errorWord":"习近平总书记","length":6,"majorClass":"重要领导","majorClassCode":"E002","manufacturer":"方正","manufacturerCode":"funz","offset":256,"originalText":null,"reason":"提及政要：敏感词类型：提及领导人（出自外接词库）","rightWord":"最常用的表述（在外事等特殊场合需做具体调整）","source":"敏感词类型：提及领导人（出自外接词库）","tagEndIndex":262,"tagStartIndex":256,"zuobian":255,"youbian":261,"colorCode":16711680,"color":"#3e81e7","zksq":"收起","position":"第1页第13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errorWord":"习近平总书记","length":6,"majorClass":"重要领导","majorClassCode":"E002","manufacturer":"方正","manufacturerCode":"funz","offset":256,"originalText":null,"reason":"提及政要：敏感词类型：提及领导人（出自外接词库）","rightWord":"最常用的表述（在外事等特殊场合需做具体调整）","source":"敏感词类型：提及领导人（出自外接词库）","tagEndIndex":262,"tagStartIndex":256,"zuobian":255,"youbian":261,"colorCode":16711680,"color":"#3e81e7","zksq":"收起","position":"第1页第13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2566","errorWord":"习近平总书记","length":6,"majorClass":"重要领导","majorClassCode":"E002","manufacturer":"方正","manufacturerCode":"funz","offset":256,"originalText":null,"reason":"提及政要：敏感词类型：提及领导人（出自外接词库）","rightWord":"最常用的表述（在外事等特殊场合需做具体调整）","source":"敏感词类型：提及领导人（出自外接词库）","tagEndIndex":262,"tagStartIndex":256,"zuobian":255,"youbian":261,"colorCode":16711680,"color":"#3e81e7","zksq":"收起","position":"第1页第13行    ","gaichi":"习近平总书记 → 最常用的表述（在外事等特殊场合需做具体调整）            (方正)","gaichi1":" → ","suggest":{"ignore":true,"modify":false,"showSug":false,"showReason":true,"sug":""},"errorType":"论坛指出，习近平总书记高度重视青藏高原的生态环境保护和科学研究。2017年8月第二次青藏科考启动时，习近平总书记专门致以贺信，为新时代科考工作服务青藏高原生态文明建设指明了方向。第二次青藏科考始终以习近平总书记贺信为根本遵循，着力解决青藏高原资源环境承载力、灾害风险、绿色发展途径等方面问题。2025年是第二次青藏科考取得重大进展的关键之年，要聚焦国家重大需求，强化跨专题、跨任务、跨学科交流与综合集成性重大成果产出。中国愿与世界各国一道，持续深化青藏高原关键科学问题研究，分享气候变化成果和生态环境保护经验，积极为人类可持续发展贡献中国智慧和中国方案。\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7161","errorWord":"/","length":1,"majorClass":"文字差错","majorClassCode":"E001","manufacturer":"方正","manufacturerCode":"funz","offset":716,"originalText":null,"reason":"标点符号检查","rightWord":"建议修改为可书写在段首的标点符号","source":"","tagEndIndex":717,"tagStartIndex":716,"zuobian":715,"youbian":716,"colorCode":255,"color":"#ce3e31","zksq":"收起","position":"第2页第10行    ","gaichi":"/ → 建议修改为可书写在段首的标点符号            (方正)","gaichi1":" → ","suggest":{"ignore":true,"modify":false,"showSug":false,"showReason":true,"sug":""},"errorType":"/\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7161","errorWord":"/","length":1,"majorClass":"文字差错","majorClassCode":"E001","manufacturer":"方正","manufacturerCode":"funz","offset":716,"originalText":null,"reason":"标点符号检查","rightWord":"建议修改为可书写在段首的标点符号","source":"","tagEndIndex":717,"tagStartIndex":716,"zuobian":715,"youbian":716,"colorCode":255,"color":"#ce3e31","zksq":"收起","position":"第2页第10行    ","gaichi":"/ → 建议修改为可书写在段首的标点符号            (方正)","gaichi1":" → ","suggest":{"ignore":true,"modify":false,"showSug":false,"showReason":true,"sug":""},"errorType":"/\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7161","errorWord":"/","length":1,"majorClass":"文字差错","majorClassCode":"E001","manufacturer":"方正","manufacturerCode":"funz","offset":716,"originalText":null,"reason":"标点符号检查","rightWord":"建议修改为可书写在段首的标点符号","source":"","tagEndIndex":717,"tagStartIndex":716,"zuobian":715,"youbian":716,"colorCode":255,"color":"#ce3e31","zksq":"收起","position":"第2页第10行    ","gaichi":"/ → 建议修改为可书写在段首的标点符号            (方正)","gaichi1":" → ","suggest":{"ignore":true,"modify":false,"showSug":false,"showReason":true,"sug":""},"errorType":"/\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7231","errorWord":"/","length":1,"majorClass":"文字差错","majorClassCode":"E001","manufacturer":"方正","manufacturerCode":"funz","offset":723,"originalText":null,"reason":"标点符号检查","rightWord":"建议修改为可书写在段首的标点符号","source":"","tagEndIndex":724,"tagStartIndex":723,"zuobian":722,"youbian":723,"colorCode":255,"color":"#ce3e31","zksq":"收起","position":"第3页第1行    ","gaichi":"/ → 建议修改为可书写在段首的标点符号            (方正)","gaichi1":" → ","suggest":{"ignore":true,"modify":false,"showSug":false,"showReason":true,"sug":""},"errorType":"/\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7231","errorWord":"/","length":1,"majorClass":"文字差错","majorClassCode":"E001","manufacturer":"方正","manufacturerCode":"funz","offset":723,"originalText":null,"reason":"标点符号检查","rightWord":"建议修改为可书写在段首的标点符号","source":"","tagEndIndex":724,"tagStartIndex":723,"zuobian":722,"youbian":723,"colorCode":255,"color":"#ce3e31","zksq":"收起","position":"第3页第1行    ","gaichi":"/ → 建议修改为可书写在段首的标点符号            (方正)","gaichi1":" → ","suggest":{"ignore":true,"modify":false,"showSug":false,"showReason":true,"sug":""},"errorType":"/\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7231","errorWord":"/","length":1,"majorClass":"文字差错","majorClassCode":"E001","manufacturer":"方正","manufacturerCode":"funz","offset":723,"originalText":null,"reason":"标点符号检查","rightWord":"建议修改为可书写在段首的标点符号","source":"","tagEndIndex":724,"tagStartIndex":723,"zuobian":722,"youbian":723,"colorCode":255,"color":"#ce3e31","zksq":"收起","position":"第3页第1行    ","gaichi":"/ → 建议修改为可书写在段首的标点符号            (方正)","gaichi1":" → ","suggest":{"ignore":true,"modify":false,"showSug":false,"showReason":true,"sug":""},"errorType":"/\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7416","errorWord":"论坛上作报告","length":6,"majorClass":"文字差错","majorClassCode":"E001","manufacturer":"方正","manufacturerCode":"funz","offset":741,"originalText":null,"reason":"易错词检查","rightWord":"论坛上做报告","source":"","tagEndIndex":747,"tagStartIndex":741,"zuobian":740,"youbian":746,"colorCode":255,"color":"#ce3e31","zksq":"收起","position":"第3页第2行    ","gaichi":"论坛上作报告 → 论坛上做报告            (方正)","gaichi1":" → ","suggest":{"ignore":true,"modify":false,"showSug":false,"showReason":true,"sug":""},"errorType":"第二次青藏科考队队长姚檀栋院士在论坛上作报告\r","xuanzhongindex":false,"xuanzhongone":true,"oid":"keyfocus0","proofreadLogId":"1905597806698168320","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7416","errorWord":"论坛上作报告","length":6,"majorClass":"文字差错","majorClassCode":"E001","manufacturer":"方正","manufacturerCode":"funz","offset":741,"originalText":null,"reason":"易错词检查","rightWord":"论坛上做报告","source":"","tagEndIndex":747,"tagStartIndex":741,"zuobian":740,"youbian":746,"colorCode":255,"color":"#ce3e31","zksq":"收起","position":"第3页第2行    ","gaichi":"论坛上作报告 → 论坛上做报告            (方正)","gaichi1":" → ","suggest":{"ignore":true,"modify":false,"showSug":false,"showReason":true,"sug":""},"errorType":"第二次青藏科考队队长姚檀栋院士在论坛上作报告\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7416","errorWord":"论坛上作报告","length":6,"majorClass":"文字差错","majorClassCode":"E001","manufacturer":"方正","manufacturerCode":"funz","offset":741,"originalText":null,"reason":"易错词检查","rightWord":"论坛上做报告","source":"","tagEndIndex":747,"tagStartIndex":741,"zuobian":740,"youbian":746,"colorCode":255,"color":"#ce3e31","zksq":"收起","position":"第3页第2行    ","gaichi":"论坛上作报告 → 论坛上做报告            (方正)","gaichi1":" → ","suggest":{"ignore":true,"modify":false,"showSug":false,"showReason":true,"sug":""},"errorType":"第二次青藏科考队队长姚檀栋院士在论坛上作报告\r","xuanzhongindex":false,"xuanzhongone":true,"oid":"keyfocus0","proofreadLogId":"1905597806698168320"},"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vt:lpwstr>
  </property>
  <property fmtid="{D5CDD505-2E9C-101B-9397-08002B2CF9AE}" pid="4" name="KSOTemplateDocerSaveRecord">
    <vt:lpwstr>eyJoZGlkIjoiZGNhYTY5YmM2OTZiYzhmMWFmNWM1NzQ1YzM5MzBmNzYiLCJ1c2VySWQiOiI5MjAzMzU3MTcifQ==</vt:lpwstr>
  </property>
  <property fmtid="{D5CDD505-2E9C-101B-9397-08002B2CF9AE}" pid="5" name="ICV">
    <vt:lpwstr>34B82E217CEF4544961F17BFB7E3C914_13</vt:lpwstr>
  </property>
</Properties>
</file>