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D677DD4">
      <w:pPr>
        <w:ind w:left="640" w:firstLine="0" w:firstLineChars="0"/>
      </w:pPr>
      <w:r>
        <w:rPr>
          <w:rFonts w:hint="eastAsia"/>
        </w:rPr>
        <w:t>未来人工智能先锋论坛新</w:t>
      </w:r>
      <w:r>
        <w:rPr>
          <w:rFonts w:hint="eastAsia" w:ascii="宋体" w:hAnsi="宋体" w:eastAsia="宋体" w:cs="宋体"/>
        </w:rPr>
        <w:t>闻</w:t>
      </w:r>
      <w:r>
        <w:rPr>
          <w:rFonts w:hint="eastAsia"/>
        </w:rPr>
        <w:t>发布会发</w:t>
      </w:r>
      <w:r>
        <w:rPr>
          <w:rFonts w:hint="eastAsia" w:ascii="宋体" w:hAnsi="宋体" w:eastAsia="宋体" w:cs="宋体"/>
        </w:rPr>
        <w:t>言材料</w:t>
      </w:r>
    </w:p>
    <w:p w14:paraId="16531E69">
      <w:pPr>
        <w:ind w:left="640" w:firstLine="0" w:firstLineChars="0"/>
      </w:pPr>
    </w:p>
    <w:p w14:paraId="0DC2674F">
      <w:pPr>
        <w:ind w:left="640" w:firstLine="0" w:firstLineChars="0"/>
      </w:pPr>
      <w:r>
        <w:rPr>
          <w:rFonts w:hint="eastAsia"/>
        </w:rPr>
        <w:t>谢谢主持人，各位媒体朋友，大家上午好！很高兴在此为大家介绍中关村论坛人工智能主题日未来人工智能先锋论坛的相关情况。</w:t>
      </w:r>
    </w:p>
    <w:p w14:paraId="1B1EDB43">
      <w:pPr>
        <w:ind w:left="640" w:firstLine="0" w:firstLineChars="0"/>
        <w:rPr>
          <w:rFonts w:hint="eastAsia"/>
        </w:rPr>
      </w:pPr>
    </w:p>
    <w:p w14:paraId="7601E7E9">
      <w:pPr>
        <w:ind w:left="640" w:firstLine="0" w:firstLineChars="0"/>
      </w:pPr>
      <w:r>
        <w:rPr>
          <w:rFonts w:hint="eastAsia"/>
        </w:rPr>
        <w:t>本届论坛由科学技术部与北京市人民政府主办，具体由科学技术部一</w:t>
      </w:r>
      <w:r>
        <w:rPr>
          <w:rFonts w:hint="eastAsia" w:ascii="宋体" w:hAnsi="宋体" w:eastAsia="宋体" w:cs="宋体"/>
        </w:rPr>
        <w:t>司</w:t>
      </w:r>
      <w:r>
        <w:rPr>
          <w:rFonts w:hint="eastAsia"/>
        </w:rPr>
        <w:t>、北京市科学技术委员会、中关村</w:t>
      </w:r>
      <w:bookmarkStart w:id="0" w:name="_GoBack"/>
      <w:bookmarkEnd w:id="0"/>
      <w:r>
        <w:rPr>
          <w:rFonts w:hint="eastAsia"/>
        </w:rPr>
        <w:t>科技</w:t>
      </w:r>
      <w:r>
        <w:rPr>
          <w:rFonts w:hint="eastAsia" w:ascii="宋体" w:hAnsi="宋体" w:eastAsia="宋体" w:cs="宋体"/>
        </w:rPr>
        <w:t>园</w:t>
      </w:r>
      <w:r>
        <w:rPr>
          <w:rFonts w:hint="eastAsia"/>
        </w:rPr>
        <w:t>区</w:t>
      </w:r>
      <w:r>
        <w:rPr>
          <w:rFonts w:hint="eastAsia" w:ascii="宋体" w:hAnsi="宋体" w:eastAsia="宋体" w:cs="宋体"/>
        </w:rPr>
        <w:t>管理</w:t>
      </w:r>
      <w:r>
        <w:rPr>
          <w:rFonts w:hint="eastAsia"/>
        </w:rPr>
        <w:t>委员会 北京市海淀区人民政府、北京智</w:t>
      </w:r>
      <w:r>
        <w:rPr>
          <w:rFonts w:hint="eastAsia" w:ascii="宋体" w:hAnsi="宋体" w:eastAsia="宋体" w:cs="宋体"/>
        </w:rPr>
        <w:t>源</w:t>
      </w:r>
      <w:r>
        <w:rPr>
          <w:rFonts w:hint="eastAsia"/>
        </w:rPr>
        <w:t>人工智能研究院、中国科学技术</w:t>
      </w:r>
      <w:r>
        <w:rPr>
          <w:rFonts w:hint="eastAsia" w:ascii="宋体" w:hAnsi="宋体" w:eastAsia="宋体" w:cs="宋体"/>
        </w:rPr>
        <w:t>信息</w:t>
      </w:r>
      <w:r>
        <w:rPr>
          <w:rFonts w:hint="eastAsia"/>
        </w:rPr>
        <w:t>研究</w:t>
      </w:r>
      <w:r>
        <w:rPr>
          <w:rFonts w:hint="eastAsia" w:ascii="宋体" w:hAnsi="宋体" w:eastAsia="宋体" w:cs="宋体"/>
        </w:rPr>
        <w:t>所</w:t>
      </w:r>
      <w:r>
        <w:rPr>
          <w:rFonts w:hint="eastAsia"/>
        </w:rPr>
        <w:t>、中关村数</w:t>
      </w:r>
      <w:r>
        <w:rPr>
          <w:rFonts w:hint="eastAsia" w:ascii="宋体" w:hAnsi="宋体" w:eastAsia="宋体" w:cs="宋体"/>
        </w:rPr>
        <w:t>字经济</w:t>
      </w:r>
      <w:r>
        <w:rPr>
          <w:rFonts w:hint="eastAsia"/>
        </w:rPr>
        <w:t>产业</w:t>
      </w:r>
      <w:r>
        <w:rPr>
          <w:rFonts w:hint="eastAsia" w:ascii="宋体" w:hAnsi="宋体" w:eastAsia="宋体" w:cs="宋体"/>
        </w:rPr>
        <w:t>联盟承</w:t>
      </w:r>
      <w:r>
        <w:rPr>
          <w:rFonts w:hint="eastAsia"/>
        </w:rPr>
        <w:t>办，以“积淀·涌现”为主题，于3月29日下午在中关村国际创新中心畅春厅举行。</w:t>
      </w:r>
    </w:p>
    <w:p w14:paraId="059B745C">
      <w:pPr>
        <w:ind w:left="640" w:firstLine="0" w:firstLineChars="0"/>
        <w:rPr>
          <w:rFonts w:hint="eastAsia"/>
        </w:rPr>
      </w:pPr>
    </w:p>
    <w:p w14:paraId="422AC7E9">
      <w:pPr>
        <w:ind w:left="640" w:firstLine="0" w:firstLineChars="0"/>
      </w:pPr>
      <w:r>
        <w:rPr>
          <w:rFonts w:hint="eastAsia"/>
        </w:rPr>
        <w:t>论坛定位“汇聚人工智能全领域前沿智慧，打造政产学研全要素盛会”， 参会人员规模也由上一届的150人提升至500人以上。</w:t>
      </w:r>
    </w:p>
    <w:p w14:paraId="202D219C">
      <w:pPr>
        <w:ind w:left="640" w:firstLine="0" w:firstLineChars="0"/>
        <w:rPr>
          <w:rFonts w:hint="eastAsia"/>
        </w:rPr>
      </w:pPr>
    </w:p>
    <w:p w14:paraId="7E440FA1">
      <w:pPr>
        <w:ind w:left="640" w:firstLine="0" w:firstLineChars="0"/>
      </w:pPr>
      <w:r>
        <w:rPr>
          <w:rFonts w:hint="eastAsia"/>
        </w:rPr>
        <w:t>围绕人工智能技术研究现状、产业发展面临的机遇和挑战与未来发展的核心方向等话题，论坛邀请图灵奖著名学者约瑟夫·斯发基斯，以及国内知名院士学者，以</w:t>
      </w:r>
      <w:r>
        <w:rPr>
          <w:rFonts w:hint="eastAsia" w:ascii="Cambria" w:hAnsi="Cambria" w:cs="Cambria"/>
        </w:rPr>
        <w:t>科</w:t>
      </w:r>
      <w:r>
        <w:rPr>
          <w:rFonts w:hint="eastAsia"/>
        </w:rPr>
        <w:t>研基石与学术</w:t>
      </w:r>
      <w:r>
        <w:rPr>
          <w:rFonts w:hint="eastAsia" w:ascii="Cambria" w:hAnsi="Cambria" w:cs="Cambria"/>
        </w:rPr>
        <w:t>前沿</w:t>
      </w:r>
      <w:r>
        <w:rPr>
          <w:rFonts w:hint="eastAsia"/>
        </w:rPr>
        <w:t>为方向做主旨报告。李开复、王海峰、杨植麟、</w:t>
      </w:r>
      <w:r>
        <w:rPr>
          <w:rFonts w:hint="eastAsia" w:ascii="Cambria" w:hAnsi="Cambria" w:cs="Cambria"/>
        </w:rPr>
        <w:t>李大海、</w:t>
      </w:r>
      <w:r>
        <w:rPr>
          <w:rFonts w:hint="eastAsia" w:ascii="宋体" w:hAnsi="宋体" w:eastAsia="宋体" w:cs="宋体"/>
        </w:rPr>
        <w:t>朱军</w:t>
      </w:r>
      <w:r>
        <w:rPr>
          <w:rFonts w:hint="eastAsia"/>
        </w:rPr>
        <w:t>等产业界专家围绕大模型产业发展作主题演讲。以人工智能创新生态建设为主题，发布空间生态、模型应用、具身智能、算力</w:t>
      </w:r>
      <w:r>
        <w:rPr>
          <w:rFonts w:hint="eastAsia" w:ascii="Cambria" w:hAnsi="Cambria" w:cs="Cambria"/>
        </w:rPr>
        <w:t>资源</w:t>
      </w:r>
      <w:r>
        <w:rPr>
          <w:rFonts w:hint="eastAsia"/>
        </w:rPr>
        <w:t>、人才</w:t>
      </w:r>
      <w:r>
        <w:rPr>
          <w:rFonts w:hint="eastAsia" w:ascii="Cambria" w:hAnsi="Cambria" w:cs="Cambria"/>
        </w:rPr>
        <w:t>要素</w:t>
      </w:r>
      <w:r>
        <w:rPr>
          <w:rFonts w:hint="eastAsia"/>
        </w:rPr>
        <w:t>等各方面</w:t>
      </w:r>
      <w:r>
        <w:rPr>
          <w:rFonts w:hint="eastAsia" w:ascii="Cambria" w:hAnsi="Cambria" w:cs="Cambria"/>
        </w:rPr>
        <w:t>的举措与行动</w:t>
      </w:r>
      <w:r>
        <w:rPr>
          <w:rFonts w:hint="eastAsia"/>
        </w:rPr>
        <w:t>，</w:t>
      </w:r>
      <w:r>
        <w:rPr>
          <w:rFonts w:hint="eastAsia" w:ascii="Cambria" w:hAnsi="Cambria"/>
        </w:rPr>
        <w:t>包括：</w:t>
      </w:r>
      <w:r>
        <w:rPr>
          <w:rFonts w:hint="eastAsia"/>
        </w:rPr>
        <w:t>人工智能创新街区2.0、具身智能研究院揭牌等多个成果。</w:t>
      </w:r>
    </w:p>
    <w:p w14:paraId="2D94C31F">
      <w:pPr>
        <w:ind w:left="640" w:firstLine="0" w:firstLineChars="0"/>
        <w:rPr>
          <w:rFonts w:hint="eastAsia"/>
        </w:rPr>
      </w:pPr>
    </w:p>
    <w:p w14:paraId="14189977">
      <w:pPr>
        <w:ind w:left="640" w:firstLine="0" w:firstLineChars="0"/>
      </w:pPr>
      <w:r>
        <w:rPr>
          <w:rFonts w:hint="eastAsia"/>
        </w:rPr>
        <w:t>论坛最后聚焦“具身智能通往AGI之路这一核心话题”，邀请具身领域知名学者及业界专家就技术、数据、场</w:t>
      </w:r>
      <w:r>
        <w:rPr>
          <w:rFonts w:hint="eastAsia" w:ascii="宋体" w:hAnsi="宋体" w:eastAsia="宋体" w:cs="宋体"/>
        </w:rPr>
        <w:t>景</w:t>
      </w:r>
      <w:r>
        <w:rPr>
          <w:rFonts w:hint="eastAsia"/>
        </w:rPr>
        <w:t>以及</w:t>
      </w:r>
      <w:r>
        <w:rPr>
          <w:rFonts w:hint="eastAsia" w:ascii="宋体" w:hAnsi="宋体" w:eastAsia="宋体" w:cs="宋体"/>
        </w:rPr>
        <w:t>安</w:t>
      </w:r>
      <w:r>
        <w:rPr>
          <w:rFonts w:hint="eastAsia"/>
        </w:rPr>
        <w:t>全挑战等分</w:t>
      </w:r>
      <w:r>
        <w:rPr>
          <w:rFonts w:hint="eastAsia" w:ascii="宋体" w:hAnsi="宋体" w:eastAsia="宋体" w:cs="宋体"/>
        </w:rPr>
        <w:t>享</w:t>
      </w:r>
      <w:r>
        <w:rPr>
          <w:rFonts w:hint="eastAsia"/>
        </w:rPr>
        <w:t>最新研究与</w:t>
      </w:r>
      <w:r>
        <w:rPr>
          <w:rFonts w:hint="eastAsia" w:ascii="宋体" w:hAnsi="宋体" w:eastAsia="宋体" w:cs="宋体"/>
        </w:rPr>
        <w:t>洞见</w:t>
      </w:r>
      <w:r>
        <w:rPr>
          <w:rFonts w:hint="eastAsia"/>
        </w:rPr>
        <w:t>。</w:t>
      </w:r>
    </w:p>
    <w:p w14:paraId="4C9EE5FE">
      <w:pPr>
        <w:ind w:left="640" w:firstLine="0" w:firstLineChars="0"/>
        <w:rPr>
          <w:rFonts w:hint="eastAsia"/>
        </w:rPr>
      </w:pPr>
    </w:p>
    <w:p w14:paraId="0EC41505">
      <w:pPr>
        <w:ind w:left="640" w:firstLine="0" w:firstLineChars="0"/>
      </w:pPr>
      <w:r>
        <w:rPr>
          <w:rFonts w:hint="eastAsia"/>
        </w:rPr>
        <w:t>欢迎各位媒体朋友关注人工智能主题日，关注未来人工智能先锋论坛，我就介绍这些，谢谢大家！</w:t>
      </w:r>
    </w:p>
    <w:p w14:paraId="37E84DF8">
      <w:pPr>
        <w:ind w:left="0" w:leftChars="0" w:firstLine="0" w:firstLineChars="0"/>
      </w:pPr>
    </w:p>
    <w:sectPr>
      <w:headerReference r:id="rId7" w:type="first"/>
      <w:headerReference r:id="rId5" w:type="default"/>
      <w:footerReference r:id="rId8" w:type="default"/>
      <w:headerReference r:id="rId6" w:type="even"/>
      <w:footerReference r:id="rId9" w:type="even"/>
      <w:pgSz w:w="11906" w:h="16838"/>
      <w:pgMar w:top="2098" w:right="1474" w:bottom="1985" w:left="1588" w:header="851" w:footer="992" w:gutter="0"/>
      <w:pgNumType w:fmt="numberInDash"/>
      <w:cols w:space="425" w:num="1"/>
      <w:titlePg/>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AC83417E-26CD-40DA-ABA9-567A75704E4D}"/>
  </w:font>
  <w:font w:name="Arial">
    <w:panose1 w:val="020B0604020202020204"/>
    <w:charset w:val="01"/>
    <w:family w:val="swiss"/>
    <w:pitch w:val="default"/>
    <w:sig w:usb0="E0002EFF" w:usb1="C000785B" w:usb2="00000009" w:usb3="00000000" w:csb0="400001FF" w:csb1="FFFF0000"/>
    <w:embedRegular r:id="rId2" w:fontKey="{AE4A95BD-0737-4905-90D7-C2E556FE8C05}"/>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C3B5A92A-7AAD-46A5-AA92-B090E1080325}"/>
  </w:font>
  <w:font w:name="Symbol">
    <w:panose1 w:val="05050102010706020507"/>
    <w:charset w:val="02"/>
    <w:family w:val="roman"/>
    <w:pitch w:val="default"/>
    <w:sig w:usb0="00000000" w:usb1="00000000" w:usb2="00000000" w:usb3="00000000" w:csb0="80000000" w:csb1="00000000"/>
    <w:embedRegular r:id="rId4" w:fontKey="{5B92DC5B-6361-4825-AB0F-0AE606A78E2A}"/>
  </w:font>
  <w:font w:name="Calibri">
    <w:panose1 w:val="020F0502020204030204"/>
    <w:charset w:val="00"/>
    <w:family w:val="swiss"/>
    <w:pitch w:val="default"/>
    <w:sig w:usb0="E4002EFF" w:usb1="C200247B" w:usb2="00000009" w:usb3="00000000" w:csb0="200001FF" w:csb1="00000000"/>
    <w:embedRegular r:id="rId5" w:fontKey="{2D83B24D-2B6C-4A51-87C4-9583C9E5E46A}"/>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script"/>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embedRegular r:id="rId6" w:fontKey="{F596914A-9EBE-4865-BF75-C90397B1FB8C}"/>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1F2AA5">
    <w:pPr>
      <w:pStyle w:val="6"/>
      <w:framePr w:wrap="around" w:vAnchor="text" w:hAnchor="margin" w:xAlign="outside" w:y="1"/>
      <w:ind w:firstLine="560"/>
      <w:rPr>
        <w:rStyle w:val="14"/>
        <w:rFonts w:ascii="宋体" w:hAnsi="宋体"/>
        <w:sz w:val="28"/>
        <w:szCs w:val="28"/>
      </w:rPr>
    </w:pPr>
    <w:r>
      <w:rPr>
        <w:rStyle w:val="14"/>
        <w:rFonts w:ascii="宋体" w:hAnsi="宋体"/>
        <w:sz w:val="28"/>
        <w:szCs w:val="28"/>
      </w:rPr>
      <w:fldChar w:fldCharType="begin"/>
    </w:r>
    <w:r>
      <w:rPr>
        <w:rStyle w:val="14"/>
        <w:rFonts w:ascii="宋体" w:hAnsi="宋体"/>
        <w:sz w:val="28"/>
        <w:szCs w:val="28"/>
      </w:rPr>
      <w:instrText xml:space="preserve">PAGE  </w:instrText>
    </w:r>
    <w:r>
      <w:rPr>
        <w:rStyle w:val="14"/>
        <w:rFonts w:ascii="宋体" w:hAnsi="宋体"/>
        <w:sz w:val="28"/>
        <w:szCs w:val="28"/>
      </w:rPr>
      <w:fldChar w:fldCharType="separate"/>
    </w:r>
    <w:r>
      <w:rPr>
        <w:rStyle w:val="14"/>
        <w:rFonts w:ascii="宋体" w:hAnsi="宋体"/>
        <w:sz w:val="28"/>
        <w:szCs w:val="28"/>
      </w:rPr>
      <w:t>- 2 -</w:t>
    </w:r>
    <w:r>
      <w:rPr>
        <w:rStyle w:val="14"/>
        <w:rFonts w:ascii="宋体" w:hAnsi="宋体"/>
        <w:sz w:val="28"/>
        <w:szCs w:val="28"/>
      </w:rPr>
      <w:fldChar w:fldCharType="end"/>
    </w:r>
  </w:p>
  <w:p w14:paraId="4AB3D69B">
    <w:pPr>
      <w:pStyle w:val="6"/>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A767CD">
    <w:pPr>
      <w:pStyle w:val="6"/>
      <w:framePr w:wrap="around" w:vAnchor="text" w:hAnchor="margin" w:xAlign="outside" w:y="1"/>
      <w:ind w:firstLine="360"/>
      <w:rPr>
        <w:rStyle w:val="14"/>
      </w:rPr>
    </w:pPr>
    <w:r>
      <w:rPr>
        <w:rStyle w:val="14"/>
      </w:rPr>
      <w:fldChar w:fldCharType="begin"/>
    </w:r>
    <w:r>
      <w:rPr>
        <w:rStyle w:val="14"/>
      </w:rPr>
      <w:instrText xml:space="preserve">PAGE  </w:instrText>
    </w:r>
    <w:r>
      <w:rPr>
        <w:rStyle w:val="14"/>
      </w:rPr>
      <w:fldChar w:fldCharType="end"/>
    </w:r>
  </w:p>
  <w:p w14:paraId="7445E8C7">
    <w:pPr>
      <w:pStyle w:val="6"/>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47340E">
    <w:pPr>
      <w:pStyle w:val="7"/>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79F45D">
    <w:pPr>
      <w:pStyle w:val="7"/>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1A9BB3">
    <w:pPr>
      <w:pStyle w:val="7"/>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53208E"/>
    <w:multiLevelType w:val="multilevel"/>
    <w:tmpl w:val="0053208E"/>
    <w:lvl w:ilvl="0" w:tentative="0">
      <w:start w:val="1"/>
      <w:numFmt w:val="japaneseCounting"/>
      <w:pStyle w:val="18"/>
      <w:lvlText w:val="%1、"/>
      <w:lvlJc w:val="left"/>
      <w:pPr>
        <w:tabs>
          <w:tab w:val="left" w:pos="1360"/>
        </w:tabs>
        <w:ind w:left="1360" w:hanging="720"/>
      </w:pPr>
      <w:rPr>
        <w:rFonts w:hint="default"/>
      </w:rPr>
    </w:lvl>
    <w:lvl w:ilvl="1" w:tentative="0">
      <w:start w:val="1"/>
      <w:numFmt w:val="lowerLetter"/>
      <w:lvlText w:val="%2)"/>
      <w:lvlJc w:val="left"/>
      <w:pPr>
        <w:tabs>
          <w:tab w:val="left" w:pos="1480"/>
        </w:tabs>
        <w:ind w:left="1480" w:hanging="420"/>
      </w:pPr>
    </w:lvl>
    <w:lvl w:ilvl="2" w:tentative="0">
      <w:start w:val="1"/>
      <w:numFmt w:val="lowerRoman"/>
      <w:lvlText w:val="%3."/>
      <w:lvlJc w:val="right"/>
      <w:pPr>
        <w:tabs>
          <w:tab w:val="left" w:pos="1900"/>
        </w:tabs>
        <w:ind w:left="1900" w:hanging="420"/>
      </w:pPr>
    </w:lvl>
    <w:lvl w:ilvl="3" w:tentative="0">
      <w:start w:val="1"/>
      <w:numFmt w:val="decimal"/>
      <w:lvlText w:val="%4."/>
      <w:lvlJc w:val="left"/>
      <w:pPr>
        <w:tabs>
          <w:tab w:val="left" w:pos="2320"/>
        </w:tabs>
        <w:ind w:left="2320" w:hanging="420"/>
      </w:pPr>
    </w:lvl>
    <w:lvl w:ilvl="4" w:tentative="0">
      <w:start w:val="1"/>
      <w:numFmt w:val="lowerLetter"/>
      <w:lvlText w:val="%5)"/>
      <w:lvlJc w:val="left"/>
      <w:pPr>
        <w:tabs>
          <w:tab w:val="left" w:pos="2740"/>
        </w:tabs>
        <w:ind w:left="2740" w:hanging="420"/>
      </w:pPr>
    </w:lvl>
    <w:lvl w:ilvl="5" w:tentative="0">
      <w:start w:val="1"/>
      <w:numFmt w:val="lowerRoman"/>
      <w:lvlText w:val="%6."/>
      <w:lvlJc w:val="right"/>
      <w:pPr>
        <w:tabs>
          <w:tab w:val="left" w:pos="3160"/>
        </w:tabs>
        <w:ind w:left="3160" w:hanging="420"/>
      </w:pPr>
    </w:lvl>
    <w:lvl w:ilvl="6" w:tentative="0">
      <w:start w:val="1"/>
      <w:numFmt w:val="decimal"/>
      <w:lvlText w:val="%7."/>
      <w:lvlJc w:val="left"/>
      <w:pPr>
        <w:tabs>
          <w:tab w:val="left" w:pos="3580"/>
        </w:tabs>
        <w:ind w:left="3580" w:hanging="420"/>
      </w:pPr>
    </w:lvl>
    <w:lvl w:ilvl="7" w:tentative="0">
      <w:start w:val="1"/>
      <w:numFmt w:val="lowerLetter"/>
      <w:lvlText w:val="%8)"/>
      <w:lvlJc w:val="left"/>
      <w:pPr>
        <w:tabs>
          <w:tab w:val="left" w:pos="4000"/>
        </w:tabs>
        <w:ind w:left="4000" w:hanging="420"/>
      </w:pPr>
    </w:lvl>
    <w:lvl w:ilvl="8" w:tentative="0">
      <w:start w:val="1"/>
      <w:numFmt w:val="lowerRoman"/>
      <w:lvlText w:val="%9."/>
      <w:lvlJc w:val="right"/>
      <w:pPr>
        <w:tabs>
          <w:tab w:val="left" w:pos="4420"/>
        </w:tabs>
        <w:ind w:left="442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7"/>
  <w:embedTrueTypeFonts/>
  <w:mirrorMargins w:val="1"/>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1CC9"/>
    <w:rsid w:val="00063962"/>
    <w:rsid w:val="000C0F98"/>
    <w:rsid w:val="001A1487"/>
    <w:rsid w:val="001A6002"/>
    <w:rsid w:val="0060749A"/>
    <w:rsid w:val="00711CC9"/>
    <w:rsid w:val="00AC2B92"/>
    <w:rsid w:val="00D01FDB"/>
    <w:rsid w:val="00DC7F3B"/>
    <w:rsid w:val="398F4BD2"/>
    <w:rsid w:val="399E2706"/>
    <w:rsid w:val="65217E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560" w:lineRule="exact"/>
      <w:ind w:firstLine="200" w:firstLineChars="200"/>
    </w:pPr>
    <w:rPr>
      <w:rFonts w:ascii="Times New Roman" w:hAnsi="Times New Roman" w:eastAsia="仿宋_GB2312" w:cs="Times New Roman"/>
      <w:kern w:val="2"/>
      <w:sz w:val="32"/>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character" w:default="1" w:styleId="13">
    <w:name w:val="Default Paragraph Font"/>
    <w:semiHidden/>
    <w:unhideWhenUsed/>
    <w:qFormat/>
    <w:uiPriority w:val="1"/>
  </w:style>
  <w:style w:type="table" w:default="1" w:styleId="12">
    <w:name w:val="Normal Table"/>
    <w:semiHidden/>
    <w:unhideWhenUsed/>
    <w:uiPriority w:val="99"/>
    <w:tblPr>
      <w:tblCellMar>
        <w:top w:w="0" w:type="dxa"/>
        <w:left w:w="108" w:type="dxa"/>
        <w:bottom w:w="0" w:type="dxa"/>
        <w:right w:w="108" w:type="dxa"/>
      </w:tblCellMar>
    </w:tblPr>
  </w:style>
  <w:style w:type="paragraph" w:styleId="3">
    <w:name w:val="annotation text"/>
    <w:basedOn w:val="1"/>
    <w:link w:val="25"/>
    <w:qFormat/>
    <w:uiPriority w:val="0"/>
  </w:style>
  <w:style w:type="paragraph" w:styleId="4">
    <w:name w:val="Body Text"/>
    <w:basedOn w:val="1"/>
    <w:link w:val="29"/>
    <w:qFormat/>
    <w:uiPriority w:val="0"/>
    <w:pPr>
      <w:spacing w:after="120"/>
    </w:pPr>
  </w:style>
  <w:style w:type="paragraph" w:styleId="5">
    <w:name w:val="Body Text Indent"/>
    <w:basedOn w:val="1"/>
    <w:link w:val="23"/>
    <w:qFormat/>
    <w:uiPriority w:val="0"/>
    <w:pPr>
      <w:spacing w:after="120"/>
      <w:ind w:left="420" w:leftChars="200"/>
    </w:pPr>
  </w:style>
  <w:style w:type="paragraph" w:styleId="6">
    <w:name w:val="footer"/>
    <w:basedOn w:val="1"/>
    <w:qFormat/>
    <w:uiPriority w:val="0"/>
    <w:pPr>
      <w:tabs>
        <w:tab w:val="center" w:pos="4153"/>
        <w:tab w:val="right" w:pos="8306"/>
      </w:tabs>
      <w:snapToGrid w:val="0"/>
    </w:pPr>
    <w:rPr>
      <w:sz w:val="18"/>
      <w:szCs w:val="18"/>
    </w:rPr>
  </w:style>
  <w:style w:type="paragraph" w:styleId="7">
    <w:name w:val="header"/>
    <w:basedOn w:val="1"/>
    <w:qFormat/>
    <w:uiPriority w:val="0"/>
    <w:pPr>
      <w:tabs>
        <w:tab w:val="center" w:pos="4153"/>
        <w:tab w:val="right" w:pos="8306"/>
      </w:tabs>
      <w:snapToGrid w:val="0"/>
      <w:jc w:val="center"/>
    </w:pPr>
    <w:rPr>
      <w:sz w:val="18"/>
      <w:szCs w:val="18"/>
    </w:rPr>
  </w:style>
  <w:style w:type="paragraph" w:styleId="8">
    <w:name w:val="toc 1"/>
    <w:basedOn w:val="1"/>
    <w:next w:val="1"/>
    <w:qFormat/>
    <w:uiPriority w:val="0"/>
    <w:rPr>
      <w:b/>
    </w:rPr>
  </w:style>
  <w:style w:type="paragraph" w:styleId="9">
    <w:name w:val="toc 2"/>
    <w:basedOn w:val="1"/>
    <w:next w:val="1"/>
    <w:qFormat/>
    <w:uiPriority w:val="0"/>
    <w:pPr>
      <w:ind w:left="200" w:leftChars="200"/>
    </w:pPr>
    <w:rPr>
      <w:sz w:val="30"/>
    </w:rPr>
  </w:style>
  <w:style w:type="paragraph" w:styleId="10">
    <w:name w:val="annotation subject"/>
    <w:basedOn w:val="3"/>
    <w:next w:val="3"/>
    <w:link w:val="26"/>
    <w:qFormat/>
    <w:uiPriority w:val="0"/>
    <w:rPr>
      <w:b/>
      <w:bCs/>
    </w:rPr>
  </w:style>
  <w:style w:type="paragraph" w:styleId="11">
    <w:name w:val="Body Text First Indent 2"/>
    <w:basedOn w:val="5"/>
    <w:link w:val="24"/>
    <w:qFormat/>
    <w:uiPriority w:val="99"/>
    <w:pPr>
      <w:widowControl w:val="0"/>
      <w:spacing w:line="240" w:lineRule="auto"/>
      <w:ind w:firstLine="420"/>
      <w:jc w:val="both"/>
    </w:pPr>
    <w:rPr>
      <w:rFonts w:ascii="Calibri" w:hAnsi="Calibri" w:eastAsia="宋体" w:cs="宋体"/>
      <w:sz w:val="21"/>
      <w:szCs w:val="22"/>
    </w:rPr>
  </w:style>
  <w:style w:type="character" w:styleId="14">
    <w:name w:val="page number"/>
    <w:basedOn w:val="13"/>
    <w:qFormat/>
    <w:uiPriority w:val="0"/>
  </w:style>
  <w:style w:type="character" w:styleId="15">
    <w:name w:val="annotation reference"/>
    <w:basedOn w:val="13"/>
    <w:qFormat/>
    <w:uiPriority w:val="0"/>
    <w:rPr>
      <w:sz w:val="21"/>
      <w:szCs w:val="21"/>
    </w:rPr>
  </w:style>
  <w:style w:type="paragraph" w:customStyle="1" w:styleId="16">
    <w:name w:val="文章大标题"/>
    <w:basedOn w:val="1"/>
    <w:qFormat/>
    <w:uiPriority w:val="0"/>
    <w:pPr>
      <w:jc w:val="center"/>
    </w:pPr>
    <w:rPr>
      <w:rFonts w:eastAsia="微软雅黑"/>
      <w:sz w:val="44"/>
    </w:rPr>
  </w:style>
  <w:style w:type="paragraph" w:customStyle="1" w:styleId="17">
    <w:name w:val="摘编新闻标题"/>
    <w:basedOn w:val="2"/>
    <w:qFormat/>
    <w:uiPriority w:val="0"/>
    <w:pPr>
      <w:spacing w:before="0" w:after="0" w:line="480" w:lineRule="exact"/>
      <w:jc w:val="center"/>
    </w:pPr>
    <w:rPr>
      <w:rFonts w:ascii="黑体" w:hAnsi="宋体" w:eastAsia="黑体" w:cs="宋体"/>
      <w:kern w:val="0"/>
      <w:sz w:val="28"/>
      <w:szCs w:val="28"/>
    </w:rPr>
  </w:style>
  <w:style w:type="paragraph" w:customStyle="1" w:styleId="18">
    <w:name w:val="文档段落标题"/>
    <w:basedOn w:val="1"/>
    <w:qFormat/>
    <w:uiPriority w:val="0"/>
    <w:pPr>
      <w:numPr>
        <w:ilvl w:val="0"/>
        <w:numId w:val="1"/>
      </w:numPr>
    </w:pPr>
    <w:rPr>
      <w:rFonts w:ascii="宋体" w:hAnsi="宋体" w:eastAsia="黑体"/>
      <w:szCs w:val="32"/>
    </w:rPr>
  </w:style>
  <w:style w:type="paragraph" w:customStyle="1" w:styleId="19">
    <w:name w:val="大标题"/>
    <w:basedOn w:val="1"/>
    <w:qFormat/>
    <w:uiPriority w:val="0"/>
    <w:pPr>
      <w:jc w:val="center"/>
    </w:pPr>
    <w:rPr>
      <w:rFonts w:ascii="微软雅黑" w:hAnsi="宋体" w:eastAsia="微软雅黑"/>
      <w:sz w:val="44"/>
      <w:szCs w:val="44"/>
    </w:rPr>
  </w:style>
  <w:style w:type="paragraph" w:customStyle="1" w:styleId="20">
    <w:name w:val="标题（小标宋）"/>
    <w:basedOn w:val="2"/>
    <w:next w:val="1"/>
    <w:qFormat/>
    <w:uiPriority w:val="0"/>
    <w:pPr>
      <w:widowControl w:val="0"/>
      <w:spacing w:before="0" w:after="0" w:line="560" w:lineRule="exact"/>
      <w:jc w:val="center"/>
    </w:pPr>
    <w:rPr>
      <w:rFonts w:ascii="微软雅黑" w:hAnsi="Calibri" w:eastAsia="微软雅黑"/>
      <w:b w:val="0"/>
      <w:kern w:val="2"/>
    </w:rPr>
  </w:style>
  <w:style w:type="paragraph" w:customStyle="1" w:styleId="21">
    <w:name w:val="样式 仿宋_GB2312 首行缩进:  1.13 厘米"/>
    <w:basedOn w:val="1"/>
    <w:qFormat/>
    <w:uiPriority w:val="0"/>
    <w:rPr>
      <w:rFonts w:ascii="仿宋_GB2312" w:cs="宋体"/>
      <w:szCs w:val="20"/>
    </w:rPr>
  </w:style>
  <w:style w:type="paragraph" w:customStyle="1" w:styleId="22">
    <w:name w:val="样式 仿宋_GB2312 两端对齐 段前: 自动 段后: 自动 行距: 固定值 28 磅 首行缩进:  2 字符"/>
    <w:basedOn w:val="1"/>
    <w:qFormat/>
    <w:uiPriority w:val="0"/>
    <w:pPr>
      <w:ind w:firstLine="640"/>
      <w:jc w:val="both"/>
    </w:pPr>
    <w:rPr>
      <w:rFonts w:ascii="仿宋_GB2312" w:cs="宋体"/>
      <w:szCs w:val="20"/>
    </w:rPr>
  </w:style>
  <w:style w:type="character" w:customStyle="1" w:styleId="23">
    <w:name w:val="正文文本缩进 字符"/>
    <w:basedOn w:val="13"/>
    <w:link w:val="5"/>
    <w:qFormat/>
    <w:uiPriority w:val="0"/>
    <w:rPr>
      <w:rFonts w:eastAsia="仿宋_GB2312"/>
      <w:kern w:val="2"/>
      <w:sz w:val="32"/>
      <w:szCs w:val="24"/>
    </w:rPr>
  </w:style>
  <w:style w:type="character" w:customStyle="1" w:styleId="24">
    <w:name w:val="正文文本首行缩进 2 字符"/>
    <w:basedOn w:val="23"/>
    <w:link w:val="11"/>
    <w:qFormat/>
    <w:uiPriority w:val="99"/>
    <w:rPr>
      <w:rFonts w:ascii="Calibri" w:hAnsi="Calibri" w:eastAsia="仿宋_GB2312" w:cs="宋体"/>
      <w:kern w:val="2"/>
      <w:sz w:val="21"/>
      <w:szCs w:val="22"/>
    </w:rPr>
  </w:style>
  <w:style w:type="character" w:customStyle="1" w:styleId="25">
    <w:name w:val="批注文字 字符"/>
    <w:basedOn w:val="13"/>
    <w:link w:val="3"/>
    <w:qFormat/>
    <w:uiPriority w:val="0"/>
    <w:rPr>
      <w:rFonts w:eastAsia="仿宋_GB2312"/>
      <w:kern w:val="2"/>
      <w:sz w:val="32"/>
      <w:szCs w:val="24"/>
    </w:rPr>
  </w:style>
  <w:style w:type="character" w:customStyle="1" w:styleId="26">
    <w:name w:val="批注主题 字符"/>
    <w:basedOn w:val="25"/>
    <w:link w:val="10"/>
    <w:qFormat/>
    <w:uiPriority w:val="0"/>
    <w:rPr>
      <w:rFonts w:eastAsia="仿宋_GB2312"/>
      <w:b/>
      <w:bCs/>
      <w:kern w:val="2"/>
      <w:sz w:val="32"/>
      <w:szCs w:val="24"/>
    </w:rPr>
  </w:style>
  <w:style w:type="paragraph" w:customStyle="1" w:styleId="27">
    <w:name w:val="修订1"/>
    <w:qFormat/>
    <w:uiPriority w:val="99"/>
    <w:rPr>
      <w:rFonts w:ascii="Times New Roman" w:hAnsi="Times New Roman" w:eastAsia="仿宋_GB2312" w:cs="Times New Roman"/>
      <w:kern w:val="2"/>
      <w:sz w:val="32"/>
      <w:szCs w:val="24"/>
      <w:lang w:val="en-US" w:eastAsia="zh-CN" w:bidi="ar-SA"/>
    </w:rPr>
  </w:style>
  <w:style w:type="paragraph" w:customStyle="1" w:styleId="28">
    <w:name w:val="修订2"/>
    <w:qFormat/>
    <w:uiPriority w:val="99"/>
    <w:rPr>
      <w:rFonts w:ascii="Times New Roman" w:hAnsi="Times New Roman" w:eastAsia="仿宋_GB2312" w:cs="Times New Roman"/>
      <w:kern w:val="2"/>
      <w:sz w:val="32"/>
      <w:szCs w:val="24"/>
      <w:lang w:val="en-US" w:eastAsia="zh-CN" w:bidi="ar-SA"/>
    </w:rPr>
  </w:style>
  <w:style w:type="character" w:customStyle="1" w:styleId="29">
    <w:name w:val="正文文本 字符"/>
    <w:basedOn w:val="13"/>
    <w:link w:val="4"/>
    <w:qFormat/>
    <w:uiPriority w:val="0"/>
    <w:rPr>
      <w:rFonts w:eastAsia="仿宋_GB2312"/>
      <w:kern w:val="2"/>
      <w:sz w:val="32"/>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theme" Target="theme/theme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Pages>
  <Words>928</Words>
  <Characters>947</Characters>
  <Lines>6</Lines>
  <Paragraphs>1</Paragraphs>
  <TotalTime>45</TotalTime>
  <ScaleCrop>false</ScaleCrop>
  <LinksUpToDate>false</LinksUpToDate>
  <CharactersWithSpaces>951</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2024-12-21T04:51:00Z</dcterms:created>
  <dc:creator>haidianyuan haidianyuan</dc:creator>
  <cp:lastModifiedBy>purple</cp:lastModifiedBy>
  <dcterms:modified xsi:type="dcterms:W3CDTF">2025-03-21T02:20:45Z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207429720CE74CEB8225739D61704701_13</vt:lpwstr>
  </property>
  <property fmtid="{D5CDD505-2E9C-101B-9397-08002B2CF9AE}" pid="4" name="KSOTemplateDocerSaveRecord">
    <vt:lpwstr>eyJoZGlkIjoiMzEwNTM5NzYwMDRjMzkwZTVkZjY2ODkwMGIxNGU0OTUiLCJ1c2VySWQiOiIxMjgyNzc3NTI2In0=</vt:lpwstr>
  </property>
</Properties>
</file>