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utoSpaceDE w:val="0"/>
        <w:spacing w:before="0" w:beforeAutospacing="0" w:after="0" w:afterAutospacing="0" w:line="560" w:lineRule="exact"/>
        <w:ind w:left="0" w:leftChars="0" w:firstLine="0" w:firstLineChars="0"/>
        <w:jc w:val="center"/>
        <w:rPr>
          <w:rFonts w:hint="eastAsia" w:ascii="方正仿宋_GBK" w:eastAsia="方正仿宋_GBK"/>
          <w:b/>
          <w:bCs/>
          <w:sz w:val="32"/>
          <w:szCs w:val="32"/>
        </w:rPr>
      </w:pPr>
    </w:p>
    <w:p>
      <w:pPr>
        <w:pStyle w:val="4"/>
        <w:autoSpaceDE w:val="0"/>
        <w:spacing w:before="0" w:beforeAutospacing="0" w:after="0" w:afterAutospacing="0" w:line="560" w:lineRule="exact"/>
        <w:ind w:left="0" w:leftChars="0" w:firstLine="0" w:firstLineChars="0"/>
        <w:jc w:val="center"/>
        <w:rPr>
          <w:rFonts w:hint="eastAsia" w:ascii="方正仿宋_GBK" w:eastAsia="方正仿宋_GBK"/>
          <w:b/>
          <w:bCs/>
          <w:sz w:val="32"/>
          <w:szCs w:val="32"/>
        </w:rPr>
      </w:pPr>
      <w:r>
        <w:rPr>
          <w:rFonts w:hint="eastAsia" w:ascii="方正仿宋_GBK" w:eastAsia="方正仿宋_GBK"/>
          <w:b/>
          <w:bCs/>
          <w:sz w:val="32"/>
          <w:szCs w:val="32"/>
        </w:rPr>
        <w:t>介绍科技金融如何助力北京企业创新发展</w:t>
      </w:r>
    </w:p>
    <w:p>
      <w:pPr>
        <w:autoSpaceDE w:val="0"/>
        <w:spacing w:line="560" w:lineRule="exact"/>
        <w:ind w:firstLine="640" w:firstLineChars="200"/>
        <w:rPr>
          <w:rFonts w:hint="eastAsia" w:ascii="仿宋_GB2312" w:hAnsi="仿宋_GB2312" w:eastAsia="仿宋_GB2312" w:cs="仿宋_GB2312"/>
          <w:sz w:val="32"/>
          <w:szCs w:val="32"/>
          <w:shd w:val="clear" w:color="auto" w:fill="FFFFFF"/>
        </w:rPr>
      </w:pPr>
    </w:p>
    <w:p>
      <w:pPr>
        <w:autoSpaceDE w:val="0"/>
        <w:spacing w:line="560" w:lineRule="exact"/>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下面我就介绍一下科技金融助力北京企业创新发展的做法和成效。</w:t>
      </w:r>
    </w:p>
    <w:p>
      <w:pPr>
        <w:autoSpaceDE w:val="0"/>
        <w:spacing w:line="56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党中央、国务院高度重视科技金融工作。党的二十届三中全会提出，要构建同科技创新相适应的科技金融体制，加强对国家重大科技任务和科技型中小企业的金融支持。）一直以来，北京市科委、中关村管委会积极推动科技金融工作，促进金融要素，服务、赋能科技创新企业。围绕创业投资、科技信贷、资本市场等方面，为科技型企业提供全</w:t>
      </w:r>
      <w:bookmarkStart w:id="0" w:name="_GoBack"/>
      <w:bookmarkEnd w:id="0"/>
      <w:r>
        <w:rPr>
          <w:rFonts w:hint="eastAsia" w:ascii="仿宋_GB2312" w:hAnsi="仿宋_GB2312" w:eastAsia="仿宋_GB2312" w:cs="仿宋_GB2312"/>
          <w:sz w:val="32"/>
          <w:szCs w:val="32"/>
          <w:shd w:val="clear" w:color="auto" w:fill="FFFFFF"/>
        </w:rPr>
        <w:t>生命周期金融服务。</w:t>
      </w:r>
    </w:p>
    <w:p>
      <w:pPr>
        <w:autoSpaceDE w:val="0"/>
        <w:spacing w:line="560" w:lineRule="exact"/>
        <w:ind w:firstLine="643"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b/>
          <w:bCs/>
          <w:sz w:val="32"/>
          <w:szCs w:val="32"/>
          <w:shd w:val="clear" w:color="auto" w:fill="FFFFFF"/>
        </w:rPr>
        <w:t>在支持政策方面</w:t>
      </w:r>
      <w:r>
        <w:rPr>
          <w:rFonts w:hint="eastAsia" w:ascii="仿宋_GB2312" w:hAnsi="仿宋_GB2312" w:eastAsia="仿宋_GB2312" w:cs="仿宋_GB2312"/>
          <w:sz w:val="32"/>
          <w:szCs w:val="32"/>
          <w:shd w:val="clear" w:color="auto" w:fill="FFFFFF"/>
          <w:lang w:val="en-US" w:eastAsia="zh-CN"/>
        </w:rPr>
        <w:t>，</w:t>
      </w:r>
      <w:r>
        <w:rPr>
          <w:rFonts w:hint="eastAsia" w:ascii="仿宋_GB2312" w:hAnsi="仿宋_GB2312" w:eastAsia="仿宋_GB2312" w:cs="仿宋_GB2312"/>
          <w:sz w:val="32"/>
          <w:szCs w:val="32"/>
        </w:rPr>
        <w:t>近年来，我委会同人民银行北京市分行、金融监管局等金融管理部门，联合金融机构，不断创新政策举措，逐步构建起科技金融服务体系。</w:t>
      </w:r>
      <w:r>
        <w:rPr>
          <w:rFonts w:hint="eastAsia" w:ascii="仿宋_GB2312" w:hAnsi="仿宋_GB2312" w:eastAsia="仿宋_GB2312" w:cs="仿宋_GB2312"/>
          <w:sz w:val="32"/>
          <w:szCs w:val="32"/>
          <w:shd w:val="clear" w:color="auto" w:fill="FFFFFF"/>
        </w:rPr>
        <w:t>2024年还印发了《中关村国家自主创新示范区促进科技金融深度融合发展支持资金管理办法》，专项资金引导新设立基金落地、引导投资机构加大投资力度、支持企业在新三板挂牌、支持多层次资本市场服务平台（基地）建设、支持开展股债联动等业务创新。</w:t>
      </w:r>
    </w:p>
    <w:p>
      <w:pPr>
        <w:pStyle w:val="4"/>
        <w:autoSpaceDE w:val="0"/>
        <w:spacing w:before="0" w:beforeAutospacing="0" w:after="0" w:afterAutospacing="0" w:line="560" w:lineRule="exact"/>
        <w:ind w:left="0" w:leftChars="0" w:firstLine="640"/>
      </w:pPr>
      <w:r>
        <w:rPr>
          <w:rFonts w:hint="eastAsia" w:ascii="仿宋_GB2312" w:hAnsi="仿宋_GB2312" w:eastAsia="仿宋_GB2312" w:cs="仿宋_GB2312"/>
          <w:b/>
          <w:bCs/>
          <w:sz w:val="32"/>
          <w:szCs w:val="32"/>
          <w:shd w:val="clear" w:color="auto" w:fill="FFFFFF"/>
        </w:rPr>
        <w:t>在创业投资方面</w:t>
      </w:r>
      <w:r>
        <w:rPr>
          <w:rFonts w:hint="eastAsia" w:ascii="仿宋_GB2312" w:hAnsi="仿宋_GB2312" w:eastAsia="仿宋_GB2312" w:cs="仿宋_GB2312"/>
          <w:sz w:val="32"/>
          <w:szCs w:val="32"/>
          <w:shd w:val="clear" w:color="auto" w:fill="FFFFFF"/>
        </w:rPr>
        <w:t>，不断加强政府投资基金引导：发挥财政资金“逆周期”调节作用，我市新设8支政府产业投资基金，初始总规模千亿元，国绕人工智能、医药健康、商业航天、新材料等高精尖领城开展直接投资，已投资决策项目178个，投资金额约181亿元。我们还设立了全国首支聚焦硬科技领域投资的政府投资母基金——北京市科技创新基金，总规模200亿元，已合作子基金63支，累计投资1343家企业，投资金额约470亿元。同时，着力提升“耐心资本”供给，设立全国首支全部由社保基金出资的社保基金中关村自主创新专项基金，首期规模50亿元，已投资快策16个项目，决策金额超27亿元。</w:t>
      </w:r>
      <w:r>
        <w:t xml:space="preserve"> </w:t>
      </w:r>
    </w:p>
    <w:p>
      <w:pPr>
        <w:pStyle w:val="4"/>
        <w:autoSpaceDE w:val="0"/>
        <w:spacing w:before="0" w:beforeAutospacing="0" w:after="0" w:afterAutospacing="0" w:line="560" w:lineRule="exact"/>
        <w:ind w:left="0" w:leftChars="0" w:firstLine="64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在科技信贷创新方面，</w:t>
      </w:r>
      <w:r>
        <w:rPr>
          <w:rFonts w:hint="eastAsia" w:ascii="仿宋_GB2312" w:hAnsi="仿宋_GB2312" w:eastAsia="仿宋_GB2312" w:cs="仿宋_GB2312"/>
          <w:sz w:val="32"/>
          <w:szCs w:val="32"/>
        </w:rPr>
        <w:t>积极推进与在京商业银行合作，</w:t>
      </w:r>
      <w:r>
        <w:rPr>
          <w:rFonts w:hint="eastAsia" w:ascii="仿宋_GB2312" w:hAnsi="仿宋_GB2312" w:eastAsia="仿宋_GB2312" w:cs="仿宋_GB2312"/>
          <w:sz w:val="32"/>
          <w:szCs w:val="32"/>
          <w:shd w:val="clear" w:color="auto" w:fill="FFFFFF"/>
        </w:rPr>
        <w:t>与中国银行北京市分行、工商银行北京市分行、北京银行签署战略合作协议，在基金设立、产品创新、跨境服务等方面试点合作。未来五年将为科创企业新增5500亿元授信额度，新增服务授信企业超过1万家。同时，积极推动</w:t>
      </w:r>
      <w:r>
        <w:rPr>
          <w:rFonts w:hint="eastAsia" w:ascii="仿宋_GB2312" w:hAnsi="仿宋_GB2312" w:eastAsia="仿宋_GB2312" w:cs="仿宋_GB2312"/>
          <w:sz w:val="32"/>
          <w:szCs w:val="32"/>
        </w:rPr>
        <w:t>科技保险揭榜挂帅任务实施，</w:t>
      </w:r>
      <w:r>
        <w:rPr>
          <w:rFonts w:hint="eastAsia" w:ascii="仿宋" w:hAnsi="仿宋" w:eastAsia="仿宋"/>
          <w:sz w:val="32"/>
          <w:szCs w:val="32"/>
        </w:rPr>
        <w:t>正在争取国家重大科技攻关保险共同体在北京落地。推动科技创新再贷款资金在京落地，已有18家试点银行对640家企业投放贷款，金额合计106亿元。</w:t>
      </w:r>
    </w:p>
    <w:p>
      <w:pPr>
        <w:pStyle w:val="4"/>
        <w:autoSpaceDE w:val="0"/>
        <w:spacing w:before="0" w:beforeAutospacing="0" w:after="0" w:afterAutospacing="0" w:line="560" w:lineRule="exact"/>
        <w:ind w:left="0" w:leftChars="0" w:firstLine="640"/>
      </w:pPr>
      <w:r>
        <w:rPr>
          <w:rFonts w:hint="eastAsia" w:ascii="仿宋_GB2312" w:hAnsi="仿宋_GB2312" w:eastAsia="仿宋_GB2312" w:cs="仿宋_GB2312"/>
          <w:sz w:val="32"/>
          <w:szCs w:val="32"/>
          <w:shd w:val="clear" w:color="auto" w:fill="FFFFFF"/>
        </w:rPr>
        <w:t>目前，北京市科技型企业贷款余额近1.14万亿元，近五年年均增长约15%；有贷户数年均增长近20%。</w:t>
      </w:r>
      <w:r>
        <w:t xml:space="preserve"> </w:t>
      </w:r>
    </w:p>
    <w:p>
      <w:pPr>
        <w:pStyle w:val="5"/>
        <w:widowControl/>
        <w:spacing w:before="0" w:beforeAutospacing="0" w:after="0" w:afterAutospacing="0" w:line="560" w:lineRule="exact"/>
        <w:ind w:firstLine="640" w:firstLineChars="200"/>
      </w:pPr>
      <w:r>
        <w:rPr>
          <w:rFonts w:hint="eastAsia" w:ascii="仿宋_GB2312" w:hAnsi="仿宋_GB2312" w:eastAsia="仿宋_GB2312" w:cs="仿宋_GB2312"/>
          <w:kern w:val="2"/>
          <w:sz w:val="32"/>
          <w:szCs w:val="32"/>
          <w:shd w:val="clear" w:color="auto" w:fill="FFFFFF"/>
        </w:rPr>
        <w:t>在资本市场方面。我们持续实施“育英计划”等企业挂牌上市培育计划，积极推动高新技术企业登陆北交所、科创板、创业板等，打造资本市场“中关村板块”，目前我市科创板、创业板，北交所上市企业数量在全国总数占比均接近10%。</w:t>
      </w:r>
    </w:p>
    <w:p>
      <w:pPr>
        <w:pStyle w:val="5"/>
        <w:widowControl/>
        <w:spacing w:before="0" w:beforeAutospacing="0" w:after="0" w:afterAutospacing="0"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shd w:val="clear" w:color="auto" w:fill="FFFFFF"/>
        </w:rPr>
        <w:t>下一步</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rPr>
        <w:t>市科委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关村管委会将继续推动科技金融深度融合发展。针对信贷、创投、债券、上市、保险、担保等科技金融领域，进一步探索政策创新。持续深化科技信贷和保险创新，推动银行创新机制体制和信贷产品，提升科技型企业贷款规模。围绕商业航天、人工智能、生物医药等重点领域，开发重大科技攻关试点保险等创新产品。持续增强创业投资活力，积极争取推动国家级基金落地。通过财政专项资金支持等方式，引导投资机构在京新设立基金，加大投资力度。同时，完善挂牌上市服务体系，建立分层培育机制。推动符合条件的企业纳入“绿色通道”、“公示审核”等创新试点机制，加快挂牌上市进程，服务科创企业高质量发展。为北京国际科创中心和世界领先科技园区建设提供有力支撑。</w:t>
      </w:r>
    </w:p>
    <w:p>
      <w:pPr>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方正仿宋_GBK">
    <w:panose1 w:val="02000000000000000000"/>
    <w:charset w:val="86"/>
    <w:family w:val="auto"/>
    <w:pitch w:val="default"/>
    <w:sig w:usb0="A00002BF" w:usb1="38CF7CFA" w:usb2="00082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宋体-简">
    <w:panose1 w:val="02010800040101010101"/>
    <w:charset w:val="86"/>
    <w:family w:val="auto"/>
    <w:pitch w:val="default"/>
    <w:sig w:usb0="00000001" w:usb1="080F0000" w:usb2="00000000"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oNotDisplayPageBoundaries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D05"/>
    <w:rsid w:val="0009280A"/>
    <w:rsid w:val="001142C9"/>
    <w:rsid w:val="00142B31"/>
    <w:rsid w:val="001651DD"/>
    <w:rsid w:val="002039AC"/>
    <w:rsid w:val="00270767"/>
    <w:rsid w:val="00356E72"/>
    <w:rsid w:val="00384D05"/>
    <w:rsid w:val="003F5B5B"/>
    <w:rsid w:val="00434885"/>
    <w:rsid w:val="005D7625"/>
    <w:rsid w:val="005E039C"/>
    <w:rsid w:val="006B0AF2"/>
    <w:rsid w:val="006F7BC2"/>
    <w:rsid w:val="0076052C"/>
    <w:rsid w:val="00840DB2"/>
    <w:rsid w:val="00851E7E"/>
    <w:rsid w:val="008D278F"/>
    <w:rsid w:val="009B1DDC"/>
    <w:rsid w:val="00A053E6"/>
    <w:rsid w:val="00BA6858"/>
    <w:rsid w:val="00BE083F"/>
    <w:rsid w:val="00C9799B"/>
    <w:rsid w:val="00D06CC6"/>
    <w:rsid w:val="00D36B3F"/>
    <w:rsid w:val="00D670C5"/>
    <w:rsid w:val="00DC6134"/>
    <w:rsid w:val="00E27DD1"/>
    <w:rsid w:val="00E726DA"/>
    <w:rsid w:val="00EF406F"/>
    <w:rsid w:val="00FB47BD"/>
    <w:rsid w:val="00FB7F81"/>
    <w:rsid w:val="00FE6B58"/>
    <w:rsid w:val="572F09F6"/>
    <w:rsid w:val="77FF358A"/>
    <w:rsid w:val="7FE06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1"/>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Indent"/>
    <w:basedOn w:val="1"/>
    <w:link w:val="10"/>
    <w:unhideWhenUsed/>
    <w:qFormat/>
    <w:uiPriority w:val="99"/>
    <w:pPr>
      <w:spacing w:after="120"/>
      <w:ind w:left="420" w:leftChars="200"/>
    </w:pPr>
  </w:style>
  <w:style w:type="paragraph" w:styleId="4">
    <w:name w:val="Body Text First Indent 2"/>
    <w:basedOn w:val="3"/>
    <w:link w:val="11"/>
    <w:unhideWhenUsed/>
    <w:qFormat/>
    <w:uiPriority w:val="99"/>
    <w:pPr>
      <w:spacing w:before="100" w:beforeAutospacing="1" w:after="100" w:afterAutospacing="1"/>
      <w:ind w:firstLine="420" w:firstLineChars="200"/>
    </w:pPr>
  </w:style>
  <w:style w:type="paragraph" w:styleId="5">
    <w:name w:val="Normal (Web)"/>
    <w:basedOn w:val="1"/>
    <w:unhideWhenUsed/>
    <w:qFormat/>
    <w:uiPriority w:val="99"/>
    <w:pPr>
      <w:spacing w:before="100" w:beforeAutospacing="1" w:after="100" w:afterAutospacing="1"/>
      <w:jc w:val="left"/>
    </w:pPr>
    <w:rPr>
      <w:kern w:val="0"/>
      <w:sz w:val="24"/>
      <w:szCs w:val="24"/>
    </w:rPr>
  </w:style>
  <w:style w:type="character" w:styleId="7">
    <w:name w:val="Strong"/>
    <w:basedOn w:val="6"/>
    <w:qFormat/>
    <w:uiPriority w:val="22"/>
    <w:rPr>
      <w:b/>
    </w:rPr>
  </w:style>
  <w:style w:type="character" w:styleId="8">
    <w:name w:val="Hyperlink"/>
    <w:basedOn w:val="6"/>
    <w:unhideWhenUsed/>
    <w:qFormat/>
    <w:uiPriority w:val="99"/>
    <w:rPr>
      <w:color w:val="0000FF"/>
      <w:u w:val="single"/>
    </w:rPr>
  </w:style>
  <w:style w:type="character" w:customStyle="1" w:styleId="10">
    <w:name w:val="正文文本缩进 Char"/>
    <w:basedOn w:val="6"/>
    <w:link w:val="3"/>
    <w:semiHidden/>
    <w:qFormat/>
    <w:uiPriority w:val="99"/>
    <w:rPr>
      <w:rFonts w:ascii="Calibri" w:hAnsi="Calibri" w:eastAsia="宋体" w:cs="Times New Roman"/>
      <w:szCs w:val="21"/>
    </w:rPr>
  </w:style>
  <w:style w:type="character" w:customStyle="1" w:styleId="11">
    <w:name w:val="正文首行缩进 2 Char"/>
    <w:basedOn w:val="10"/>
    <w:link w:val="4"/>
    <w:qFormat/>
    <w:uiPriority w:val="99"/>
    <w:rPr>
      <w:rFonts w:ascii="Calibri" w:hAnsi="Calibri"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1310</Words>
  <Characters>1345</Characters>
  <Lines>9</Lines>
  <Paragraphs>2</Paragraphs>
  <TotalTime>0</TotalTime>
  <ScaleCrop>false</ScaleCrop>
  <LinksUpToDate>false</LinksUpToDate>
  <CharactersWithSpaces>1347</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2025-03-18T19:58:00Z</dcterms:created>
  <dc:creator>admin</dc:creator>
  <cp:lastModifiedBy>fumiyabitaku</cp:lastModifiedBy>
  <dcterms:modified xsi:type="dcterms:W3CDTF">2025-03-20T03:30:29Z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eyJoZGlkIjoiZDM0NjM4MDY1YmFiZGRiNWE2YjVmODc3ZWMwNTZiNTQiLCJ1c2VySWQiOiIzMTA5ODM4NTEifQ==</vt:lpwstr>
  </property>
  <property fmtid="{D5CDD505-2E9C-101B-9397-08002B2CF9AE}" pid="3" name="KSOProductBuildVer">
    <vt:lpwstr>2052-3.8.1.6116</vt:lpwstr>
  </property>
  <property fmtid="{D5CDD505-2E9C-101B-9397-08002B2CF9AE}" pid="4" name="ICV">
    <vt:lpwstr>21ECE616126642C0AE44E76954BFDBD1_12</vt:lpwstr>
  </property>
</Properties>
</file>