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FD42F">
      <w:pPr>
        <w:rPr>
          <w:rFonts w:hint="eastAsia"/>
        </w:rPr>
      </w:pPr>
    </w:p>
    <w:p w14:paraId="4752405B">
      <w:pPr>
        <w:ind w:firstLine="0" w:firstLineChars="0"/>
        <w:jc w:val="center"/>
        <w:rPr>
          <w:rFonts w:hint="eastAsia" w:ascii="方正小标宋_GBK" w:hAnsi="方正小标宋_GBK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/>
          <w:sz w:val="44"/>
          <w:szCs w:val="44"/>
        </w:rPr>
        <w:t>“人工智能+新材料”媒体集采备参</w:t>
      </w:r>
    </w:p>
    <w:p w14:paraId="321FC9E9">
      <w:pPr>
        <w:rPr>
          <w:rFonts w:hint="eastAsia"/>
        </w:rPr>
      </w:pPr>
    </w:p>
    <w:p w14:paraId="72B252FA">
      <w:pPr>
        <w:spacing w:line="560" w:lineRule="exact"/>
        <w:ind w:firstLine="643"/>
        <w:jc w:val="both"/>
        <w:rPr>
          <w:rFonts w:hAnsi="宋体"/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【大背景】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人工智能正在重塑新材料研发范式，加速产业变革，受到全球广泛关注。</w:t>
      </w:r>
      <w:r>
        <w:rPr>
          <w:rFonts w:hint="eastAsia" w:hAnsi="宋体"/>
        </w:rPr>
        <w:t>我国紧跟趋势加紧布局，2024年10月30日，工业和信息化部发布《新材料大数据中心总体建设方案》，启动国家新材料大数据中心建设。同年12月，中央经济工作会议提出“开展‘人工智能+’行动，培育未来产业”。</w:t>
      </w:r>
      <w:bookmarkStart w:id="0" w:name="OLE_LINK1"/>
      <w:r>
        <w:rPr>
          <w:rFonts w:hint="eastAsia" w:hAnsi="宋体"/>
        </w:rPr>
        <w:t>今年政府工作报告提出，持续推进“人工智能+”行动，将数字技术与制造优势、市场优势更好结合起来，支持大模型广泛应用。一时间，“AI+新材料”站在时代风口。</w:t>
      </w:r>
    </w:p>
    <w:p w14:paraId="47556B09">
      <w:pPr>
        <w:ind w:firstLine="643"/>
        <w:jc w:val="both"/>
        <w:rPr>
          <w:rFonts w:hint="eastAsia" w:hAnsi="宋体"/>
        </w:rPr>
      </w:pPr>
      <w:r>
        <w:rPr>
          <w:rFonts w:hint="eastAsia"/>
          <w:b/>
          <w:bCs/>
        </w:rPr>
        <w:t>【北京优势】</w:t>
      </w:r>
      <w:r>
        <w:rPr>
          <w:rFonts w:hint="eastAsia"/>
        </w:rPr>
        <w:t>北京人工智能和新材料创新资源集聚，“人工智能+新材料”具有先发优势。</w:t>
      </w:r>
      <w:r>
        <w:rPr>
          <w:rFonts w:hint="eastAsia"/>
          <w:lang w:eastAsia="zh"/>
        </w:rPr>
        <w:t>鄂维南、谢建新、汪卫华等一批院士领衔团队率先开展“人工智能+新材料”融合创新</w:t>
      </w:r>
      <w:r>
        <w:rPr>
          <w:rFonts w:hint="eastAsia"/>
        </w:rPr>
        <w:t>。北京该领域创新型企业约占全国1/3，其中鄂维南院</w:t>
      </w:r>
      <w:r>
        <w:rPr>
          <w:rFonts w:hint="eastAsia"/>
          <w:lang w:eastAsia="zh"/>
        </w:rPr>
        <w:t>士团队成立的深势科技已发展为该领域第1家准独角兽企业；</w:t>
      </w:r>
      <w:r>
        <w:rPr>
          <w:rFonts w:hint="eastAsia"/>
        </w:rPr>
        <w:t>同时，</w:t>
      </w:r>
      <w:r>
        <w:rPr>
          <w:rFonts w:hint="eastAsia"/>
          <w:lang w:eastAsia="zh"/>
        </w:rPr>
        <w:t>钢研集团、中铝集团、中石化、首钢集团等在京央国企纷纷布局建设</w:t>
      </w:r>
      <w:r>
        <w:rPr>
          <w:rFonts w:hint="eastAsia"/>
          <w:lang w:bidi="ar"/>
        </w:rPr>
        <w:t>数字化研发中心</w:t>
      </w:r>
      <w:r>
        <w:rPr>
          <w:rFonts w:hint="eastAsia"/>
          <w:lang w:eastAsia="zh"/>
        </w:rPr>
        <w:t>。此外，国家新材料大数据中心建设多项任务落地北京，</w:t>
      </w:r>
      <w:r>
        <w:rPr>
          <w:lang w:bidi="ar"/>
        </w:rPr>
        <w:t>为在京</w:t>
      </w:r>
      <w:r>
        <w:rPr>
          <w:lang w:eastAsia="zh" w:bidi="ar"/>
        </w:rPr>
        <w:t>开展材料</w:t>
      </w:r>
      <w:r>
        <w:rPr>
          <w:lang w:bidi="ar"/>
        </w:rPr>
        <w:t>数据服务</w:t>
      </w:r>
      <w:r>
        <w:rPr>
          <w:rFonts w:hint="eastAsia"/>
          <w:lang w:bidi="ar"/>
        </w:rPr>
        <w:t>等</w:t>
      </w:r>
      <w:r>
        <w:rPr>
          <w:lang w:bidi="ar"/>
        </w:rPr>
        <w:t>奠定基础</w:t>
      </w:r>
      <w:r>
        <w:t>。</w:t>
      </w:r>
    </w:p>
    <w:bookmarkEnd w:id="0"/>
    <w:p w14:paraId="4F309F49">
      <w:pPr>
        <w:ind w:firstLine="643"/>
        <w:jc w:val="both"/>
        <w:rPr>
          <w:rFonts w:hAnsi="仿宋" w:cs="楷体_GB2312"/>
          <w:color w:val="000000"/>
        </w:rPr>
      </w:pPr>
      <w:r>
        <w:rPr>
          <w:rFonts w:hint="eastAsia"/>
          <w:b/>
          <w:bCs/>
        </w:rPr>
        <w:t>【行动计划】</w:t>
      </w:r>
      <w:r>
        <w:rPr>
          <w:rFonts w:hint="eastAsia"/>
        </w:rPr>
        <w:t>今年1月26日，</w:t>
      </w:r>
      <w:r>
        <w:rPr>
          <w:rFonts w:hint="eastAsia"/>
          <w:lang w:val="en-US" w:eastAsia="zh-CN"/>
        </w:rPr>
        <w:t>北京市科委、中关村管委会</w:t>
      </w:r>
      <w:r>
        <w:rPr>
          <w:rFonts w:hint="eastAsia"/>
        </w:rPr>
        <w:t>牵头，会同市发展改革委、市经济和信息化局联合印发《北京市加快推动“人工智能+新材料”创新发展行动计划（2025-2027年）》</w:t>
      </w:r>
      <w:r>
        <w:rPr>
          <w:rFonts w:hint="eastAsia"/>
          <w:lang w:eastAsia="zh-CN"/>
        </w:rPr>
        <w:t>（以下简称</w:t>
      </w:r>
      <w:r>
        <w:rPr>
          <w:rFonts w:hint="eastAsia" w:hAnsi="仿宋" w:cs="楷体_GB2312"/>
          <w:color w:val="000000"/>
        </w:rPr>
        <w:t>《行动计划》</w:t>
      </w:r>
      <w:r>
        <w:rPr>
          <w:rFonts w:hint="eastAsia"/>
          <w:lang w:eastAsia="zh-CN"/>
        </w:rPr>
        <w:t>）</w:t>
      </w:r>
      <w:r>
        <w:rPr>
          <w:rFonts w:hint="eastAsia" w:hAnsi="仿宋" w:cs="楷体_GB2312"/>
          <w:color w:val="000000"/>
        </w:rPr>
        <w:t>。《行动计划》坚持创新策源，强化技术引领；坚持融合发展，提升联动势能；坚持先行先试，营造良好生态三大基本原则，提出到2027年，北京“人工智能+新材料”创新能力显著增强，新材料研发服务业态培育取得积极进展，形成国际领先的新材料创新策源与人工智能应用高地。</w:t>
      </w:r>
    </w:p>
    <w:p w14:paraId="190084AB">
      <w:pPr>
        <w:ind w:firstLine="643"/>
        <w:jc w:val="both"/>
        <w:rPr>
          <w:rFonts w:hint="eastAsia" w:hAnsi="仿宋" w:cs="楷体_GB2312"/>
          <w:color w:val="000000"/>
        </w:rPr>
      </w:pPr>
      <w:r>
        <w:rPr>
          <w:rFonts w:hint="eastAsia" w:hAnsi="仿宋" w:cs="楷体_GB2312"/>
          <w:b/>
          <w:bCs/>
          <w:color w:val="000000"/>
        </w:rPr>
        <w:t>【进展及成效】</w:t>
      </w:r>
      <w:r>
        <w:rPr>
          <w:rFonts w:hint="eastAsia" w:hAnsi="仿宋" w:cs="楷体_GB2312"/>
          <w:color w:val="000000"/>
        </w:rPr>
        <w:t>随着《行动计划》的发布，</w:t>
      </w:r>
      <w:r>
        <w:rPr>
          <w:rFonts w:hint="eastAsia" w:hAnsi="宋体"/>
        </w:rPr>
        <w:t>北京在提速新质生产力发展上，又迈出新的关键一步。同时，一批“AI+新材料”融合创新成果加速涌现，</w:t>
      </w:r>
      <w:r>
        <w:rPr>
          <w:rFonts w:hint="eastAsia" w:hAnsi="仿宋" w:cs="楷体_GB2312"/>
          <w:color w:val="000000"/>
        </w:rPr>
        <w:t>为全国新质生产力的发展注入强劲动能。</w:t>
      </w:r>
      <w:r>
        <w:rPr>
          <w:rFonts w:hint="eastAsia" w:hAnsi="仿宋" w:cs="楷体_GB2312"/>
          <w:b/>
          <w:bCs/>
          <w:color w:val="000000"/>
        </w:rPr>
        <w:t>一是形成一批AI赋能的标杆性新材料典型案例</w:t>
      </w:r>
      <w:r>
        <w:rPr>
          <w:rFonts w:hint="eastAsia" w:hAnsi="仿宋" w:cs="楷体_GB2312"/>
          <w:b/>
          <w:bCs/>
          <w:color w:val="000000"/>
          <w:lang w:eastAsia="zh-CN"/>
        </w:rPr>
        <w:t>。</w:t>
      </w:r>
      <w:r>
        <w:rPr>
          <w:rFonts w:hint="eastAsia" w:hAnsi="宋体"/>
        </w:rPr>
        <w:t>小米汽车身上的“泰坦合金”，实现从实验室到量产车的智能跃迁；中国钢研6个月内设计开发出世界上强度最高（800MPa级别）的高性能抗氢厚板材料；北京科学智能研究院引入AI分子表示学习模型，设计出不含贵重金属的新一代OLED发光材料</w:t>
      </w:r>
      <w:r>
        <w:rPr>
          <w:rFonts w:hint="eastAsia" w:hAnsi="仿宋" w:cs="楷体_GB2312"/>
          <w:color w:val="000000"/>
        </w:rPr>
        <w:t>。</w:t>
      </w:r>
      <w:r>
        <w:rPr>
          <w:rFonts w:hint="eastAsia" w:hAnsi="仿宋" w:cs="楷体_GB2312"/>
          <w:b/>
          <w:bCs/>
          <w:color w:val="000000"/>
        </w:rPr>
        <w:t>二是国家新材料大数据中心建设等多项任务落地北京</w:t>
      </w:r>
      <w:r>
        <w:rPr>
          <w:rFonts w:hint="eastAsia" w:hAnsi="仿宋" w:cs="楷体_GB2312"/>
          <w:b/>
          <w:bCs/>
          <w:color w:val="000000"/>
          <w:lang w:eastAsia="zh-CN"/>
        </w:rPr>
        <w:t>。</w:t>
      </w:r>
      <w:r>
        <w:rPr>
          <w:rFonts w:hint="eastAsia" w:hAnsi="宋体"/>
        </w:rPr>
        <w:t>北京牵头的主平台服务门户正在加速建设，计划于今年3月发布试用版，并于12月正式对外发布运行。2024年启动建设的5项数据资源节点任务，4项落地北京，未来预计多个行业数据资源节点将陆续在京落地，为北京数据驱动新材料智能化创新发展奠定坚实基础。</w:t>
      </w:r>
      <w:r>
        <w:rPr>
          <w:rFonts w:hint="eastAsia" w:hAnsi="仿宋" w:cs="楷体_GB2312"/>
          <w:color w:val="000000"/>
        </w:rPr>
        <w:t>三是智能实验室加速推进</w:t>
      </w:r>
      <w:r>
        <w:rPr>
          <w:rFonts w:hint="eastAsia" w:hAnsi="仿宋" w:cs="楷体_GB2312"/>
          <w:color w:val="000000"/>
          <w:lang w:eastAsia="zh-CN"/>
        </w:rPr>
        <w:t>。</w:t>
      </w:r>
      <w:r>
        <w:rPr>
          <w:rFonts w:hint="eastAsia" w:hAnsi="仿宋" w:cs="楷体_GB2312"/>
          <w:color w:val="000000"/>
        </w:rPr>
        <w:t>钢研集团、深势科技、深云智合、戴纳科技等新材料、人工智能、智慧实验室等各领域创新主体均在积极布局建设软硬一体、干湿闭环等新材料智能实验室。</w:t>
      </w:r>
      <w:bookmarkStart w:id="1" w:name="_GoBack"/>
      <w:bookmarkEnd w:id="1"/>
    </w:p>
    <w:p w14:paraId="45BC54D2">
      <w:pPr>
        <w:ind w:firstLine="643"/>
        <w:jc w:val="both"/>
        <w:rPr>
          <w:rFonts w:hint="eastAsia" w:hAnsi="宋体"/>
        </w:rPr>
      </w:pPr>
      <w:r>
        <w:rPr>
          <w:rFonts w:hint="eastAsia" w:hAnsi="宋体"/>
          <w:b/>
          <w:bCs/>
        </w:rPr>
        <w:t>【表态】</w:t>
      </w:r>
      <w:r>
        <w:rPr>
          <w:rFonts w:hint="eastAsia" w:hAnsi="宋体"/>
        </w:rPr>
        <w:t>“谋而后定，定而后动，动而后获。”推动“AI+新材料”融合创新，下一步，</w:t>
      </w:r>
      <w:r>
        <w:rPr>
          <w:rFonts w:hint="eastAsia" w:hAnsi="宋体"/>
          <w:lang w:val="en-US" w:eastAsia="zh-CN"/>
        </w:rPr>
        <w:t>北京市科委、中关村管委会</w:t>
      </w:r>
      <w:r>
        <w:rPr>
          <w:rFonts w:hint="eastAsia" w:hAnsi="宋体"/>
        </w:rPr>
        <w:t>将统筹推进关键核心技术攻关、新材料数据设施构筑、智能实验室建设、新业态培育和创新生态提升，加快关键新材料突破，带动产业转型升级，深入推进新型工业化，以科技创新引领新质生产力发展，更好支撑北京国际科创中心建设。</w:t>
      </w:r>
    </w:p>
    <w:p w14:paraId="12BD34F4">
      <w:pPr>
        <w:ind w:firstLine="643"/>
        <w:jc w:val="both"/>
        <w:rPr>
          <w:rFonts w:hint="eastAsia" w:hAnsi="宋体"/>
        </w:rPr>
      </w:pPr>
    </w:p>
    <w:p w14:paraId="45BED6CE">
      <w:pPr>
        <w:ind w:firstLine="643"/>
        <w:jc w:val="both"/>
        <w:rPr>
          <w:rFonts w:hint="eastAsia" w:hAnsi="宋体"/>
        </w:rPr>
      </w:pPr>
    </w:p>
    <w:p w14:paraId="0D41ACF7">
      <w:pPr>
        <w:ind w:firstLine="643"/>
        <w:jc w:val="both"/>
        <w:rPr>
          <w:rFonts w:hint="eastAsia" w:hAnsi="宋体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88292556"/>
      <w:docPartObj>
        <w:docPartGallery w:val="autotext"/>
      </w:docPartObj>
    </w:sdtPr>
    <w:sdtContent>
      <w:p w14:paraId="6BCC9DA9">
        <w:pPr>
          <w:pStyle w:val="8"/>
          <w:ind w:firstLine="360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252E6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24CC7">
    <w:pPr>
      <w:pStyle w:val="8"/>
      <w:ind w:firstLine="360"/>
      <w:rPr>
        <w:rFonts w:hint="eastAsia"/>
      </w:rPr>
    </w:pPr>
  </w:p>
  <w:p w14:paraId="67F4541C">
    <w:pPr>
      <w:rPr>
        <w:rFonts w:hint="eastAsia"/>
      </w:rPr>
    </w:pPr>
  </w:p>
  <w:p w14:paraId="2636E003">
    <w:pPr>
      <w:rPr>
        <w:rFonts w:hint="eastAsia"/>
      </w:rPr>
    </w:pPr>
  </w:p>
  <w:p w14:paraId="0BFE8889">
    <w:pPr>
      <w:rPr>
        <w:rFonts w:hint="eastAsia"/>
      </w:rPr>
    </w:pPr>
  </w:p>
  <w:p w14:paraId="55394324">
    <w:pPr>
      <w:rPr>
        <w:rFonts w:hint="eastAsia"/>
      </w:rPr>
    </w:pPr>
  </w:p>
  <w:p w14:paraId="50671791">
    <w:pPr>
      <w:rPr>
        <w:rFonts w:hint="eastAsia"/>
      </w:rPr>
    </w:pPr>
  </w:p>
  <w:p w14:paraId="2373CEB4">
    <w:pPr>
      <w:rPr>
        <w:rFonts w:hint="eastAsia"/>
      </w:rPr>
    </w:pPr>
  </w:p>
  <w:p w14:paraId="529D013D">
    <w:pPr>
      <w:rPr>
        <w:rFonts w:hint="eastAsia"/>
      </w:rPr>
    </w:pPr>
  </w:p>
  <w:p w14:paraId="74261E8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8682C">
    <w:pPr>
      <w:pStyle w:val="8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679DA3">
    <w:pPr>
      <w:pStyle w:val="9"/>
      <w:ind w:firstLine="360"/>
      <w:rPr>
        <w:rFonts w:hint="eastAsia"/>
      </w:rPr>
    </w:pPr>
  </w:p>
  <w:p w14:paraId="1CCE325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8950F7">
    <w:pPr>
      <w:pStyle w:val="9"/>
      <w:ind w:firstLine="360"/>
      <w:rPr>
        <w:rFonts w:hint="eastAsia"/>
      </w:rPr>
    </w:pPr>
  </w:p>
  <w:p w14:paraId="33A0F61A">
    <w:pPr>
      <w:rPr>
        <w:rFonts w:hint="eastAsia"/>
      </w:rPr>
    </w:pPr>
  </w:p>
  <w:p w14:paraId="238C5EE2">
    <w:pPr>
      <w:rPr>
        <w:rFonts w:hint="eastAsia"/>
      </w:rPr>
    </w:pPr>
  </w:p>
  <w:p w14:paraId="77259A31">
    <w:pPr>
      <w:rPr>
        <w:rFonts w:hint="eastAsia"/>
      </w:rPr>
    </w:pPr>
  </w:p>
  <w:p w14:paraId="4132E280">
    <w:pPr>
      <w:rPr>
        <w:rFonts w:hint="eastAsia"/>
      </w:rPr>
    </w:pPr>
  </w:p>
  <w:p w14:paraId="366B89B2">
    <w:pPr>
      <w:rPr>
        <w:rFonts w:hint="eastAsia"/>
      </w:rPr>
    </w:pPr>
  </w:p>
  <w:p w14:paraId="726DE283">
    <w:pPr>
      <w:rPr>
        <w:rFonts w:hint="eastAsia"/>
      </w:rPr>
    </w:pPr>
  </w:p>
  <w:p w14:paraId="1B20FE23">
    <w:pPr>
      <w:rPr>
        <w:rFonts w:hint="eastAsia"/>
      </w:rPr>
    </w:pPr>
  </w:p>
  <w:p w14:paraId="0AA65E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F8985A">
    <w:pPr>
      <w:pStyle w:val="9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3ZTBlYmZkODdlYzMxNGRmNjA2MjBhNTJmYmVhNWYifQ=="/>
  </w:docVars>
  <w:rsids>
    <w:rsidRoot w:val="00782824"/>
    <w:rsid w:val="00004AF1"/>
    <w:rsid w:val="00016D25"/>
    <w:rsid w:val="00023E08"/>
    <w:rsid w:val="00033728"/>
    <w:rsid w:val="00046E12"/>
    <w:rsid w:val="00057CCB"/>
    <w:rsid w:val="00070731"/>
    <w:rsid w:val="000747AE"/>
    <w:rsid w:val="00075AA0"/>
    <w:rsid w:val="000A166E"/>
    <w:rsid w:val="000C2832"/>
    <w:rsid w:val="000C2983"/>
    <w:rsid w:val="000D5779"/>
    <w:rsid w:val="000F03CF"/>
    <w:rsid w:val="000F09D3"/>
    <w:rsid w:val="000F3350"/>
    <w:rsid w:val="001270F8"/>
    <w:rsid w:val="00127690"/>
    <w:rsid w:val="00127839"/>
    <w:rsid w:val="00133BA6"/>
    <w:rsid w:val="00145363"/>
    <w:rsid w:val="00162E64"/>
    <w:rsid w:val="00164899"/>
    <w:rsid w:val="001830AA"/>
    <w:rsid w:val="001916F2"/>
    <w:rsid w:val="001A24F7"/>
    <w:rsid w:val="001B3CB6"/>
    <w:rsid w:val="001B770B"/>
    <w:rsid w:val="001D596F"/>
    <w:rsid w:val="001E2E2E"/>
    <w:rsid w:val="001F2113"/>
    <w:rsid w:val="001F312F"/>
    <w:rsid w:val="001F549F"/>
    <w:rsid w:val="00204B9C"/>
    <w:rsid w:val="00213325"/>
    <w:rsid w:val="00213AE2"/>
    <w:rsid w:val="00222A76"/>
    <w:rsid w:val="0023577B"/>
    <w:rsid w:val="002926DB"/>
    <w:rsid w:val="002A01E6"/>
    <w:rsid w:val="002A692B"/>
    <w:rsid w:val="002D7BF8"/>
    <w:rsid w:val="002E2643"/>
    <w:rsid w:val="002F29EF"/>
    <w:rsid w:val="003008FE"/>
    <w:rsid w:val="00306DC4"/>
    <w:rsid w:val="00314C9A"/>
    <w:rsid w:val="00330872"/>
    <w:rsid w:val="003327BB"/>
    <w:rsid w:val="00333D0A"/>
    <w:rsid w:val="00353A63"/>
    <w:rsid w:val="00367205"/>
    <w:rsid w:val="003679EE"/>
    <w:rsid w:val="00384D4B"/>
    <w:rsid w:val="003A4EBD"/>
    <w:rsid w:val="003A71BA"/>
    <w:rsid w:val="003B7694"/>
    <w:rsid w:val="003C2C4B"/>
    <w:rsid w:val="003E22E6"/>
    <w:rsid w:val="003F580F"/>
    <w:rsid w:val="003F59D5"/>
    <w:rsid w:val="00405CE0"/>
    <w:rsid w:val="00411F10"/>
    <w:rsid w:val="0042448C"/>
    <w:rsid w:val="00437E48"/>
    <w:rsid w:val="00455879"/>
    <w:rsid w:val="00465393"/>
    <w:rsid w:val="00471FC4"/>
    <w:rsid w:val="004B5A5C"/>
    <w:rsid w:val="004C0CD5"/>
    <w:rsid w:val="004C24D3"/>
    <w:rsid w:val="004C7408"/>
    <w:rsid w:val="004F707B"/>
    <w:rsid w:val="005238FE"/>
    <w:rsid w:val="005307CA"/>
    <w:rsid w:val="005374C4"/>
    <w:rsid w:val="0055099B"/>
    <w:rsid w:val="0055314D"/>
    <w:rsid w:val="00586C21"/>
    <w:rsid w:val="005D259A"/>
    <w:rsid w:val="005F179C"/>
    <w:rsid w:val="005F449D"/>
    <w:rsid w:val="005F5E37"/>
    <w:rsid w:val="006025BB"/>
    <w:rsid w:val="006057F0"/>
    <w:rsid w:val="006124C6"/>
    <w:rsid w:val="0061541E"/>
    <w:rsid w:val="0062430B"/>
    <w:rsid w:val="00633537"/>
    <w:rsid w:val="006A4DE8"/>
    <w:rsid w:val="006B5199"/>
    <w:rsid w:val="006E15CF"/>
    <w:rsid w:val="006E2DA1"/>
    <w:rsid w:val="0070405C"/>
    <w:rsid w:val="0070778A"/>
    <w:rsid w:val="00713618"/>
    <w:rsid w:val="00714098"/>
    <w:rsid w:val="00725850"/>
    <w:rsid w:val="00733392"/>
    <w:rsid w:val="007427E2"/>
    <w:rsid w:val="00746628"/>
    <w:rsid w:val="007612C6"/>
    <w:rsid w:val="007631AE"/>
    <w:rsid w:val="00780D08"/>
    <w:rsid w:val="00782824"/>
    <w:rsid w:val="007A4495"/>
    <w:rsid w:val="007B02FE"/>
    <w:rsid w:val="007B5662"/>
    <w:rsid w:val="007C00D6"/>
    <w:rsid w:val="007C4A6F"/>
    <w:rsid w:val="007D3F4D"/>
    <w:rsid w:val="007E20FB"/>
    <w:rsid w:val="00802B8B"/>
    <w:rsid w:val="0081604C"/>
    <w:rsid w:val="00840D1E"/>
    <w:rsid w:val="00841F2E"/>
    <w:rsid w:val="00852566"/>
    <w:rsid w:val="00854634"/>
    <w:rsid w:val="0087350E"/>
    <w:rsid w:val="0088598B"/>
    <w:rsid w:val="008A391F"/>
    <w:rsid w:val="008A564C"/>
    <w:rsid w:val="008B3009"/>
    <w:rsid w:val="008B710E"/>
    <w:rsid w:val="008C456D"/>
    <w:rsid w:val="008C46C4"/>
    <w:rsid w:val="008D0C76"/>
    <w:rsid w:val="008D1669"/>
    <w:rsid w:val="008D6D01"/>
    <w:rsid w:val="009019AB"/>
    <w:rsid w:val="00906F9D"/>
    <w:rsid w:val="009135D4"/>
    <w:rsid w:val="00934241"/>
    <w:rsid w:val="0094083C"/>
    <w:rsid w:val="00943070"/>
    <w:rsid w:val="00954833"/>
    <w:rsid w:val="009579B8"/>
    <w:rsid w:val="00974CD9"/>
    <w:rsid w:val="009751BC"/>
    <w:rsid w:val="00987028"/>
    <w:rsid w:val="00996B16"/>
    <w:rsid w:val="009A3388"/>
    <w:rsid w:val="009B5EBD"/>
    <w:rsid w:val="009C6516"/>
    <w:rsid w:val="009C7E3A"/>
    <w:rsid w:val="009E298C"/>
    <w:rsid w:val="009F333E"/>
    <w:rsid w:val="00A041C2"/>
    <w:rsid w:val="00A10DBA"/>
    <w:rsid w:val="00A321B4"/>
    <w:rsid w:val="00A56D8B"/>
    <w:rsid w:val="00A640AB"/>
    <w:rsid w:val="00A65695"/>
    <w:rsid w:val="00A670DD"/>
    <w:rsid w:val="00A7023C"/>
    <w:rsid w:val="00A72FD0"/>
    <w:rsid w:val="00A857A6"/>
    <w:rsid w:val="00A9096B"/>
    <w:rsid w:val="00AA0251"/>
    <w:rsid w:val="00AC18B4"/>
    <w:rsid w:val="00AC5E28"/>
    <w:rsid w:val="00AD3266"/>
    <w:rsid w:val="00AD691A"/>
    <w:rsid w:val="00AE5573"/>
    <w:rsid w:val="00B0004B"/>
    <w:rsid w:val="00B10EBD"/>
    <w:rsid w:val="00B12F2A"/>
    <w:rsid w:val="00B22E6C"/>
    <w:rsid w:val="00B44A2C"/>
    <w:rsid w:val="00B57205"/>
    <w:rsid w:val="00B72C21"/>
    <w:rsid w:val="00B73888"/>
    <w:rsid w:val="00B81164"/>
    <w:rsid w:val="00B84ABA"/>
    <w:rsid w:val="00BF189C"/>
    <w:rsid w:val="00C40F5F"/>
    <w:rsid w:val="00C418B1"/>
    <w:rsid w:val="00C41BDD"/>
    <w:rsid w:val="00C532F7"/>
    <w:rsid w:val="00C651DC"/>
    <w:rsid w:val="00C65559"/>
    <w:rsid w:val="00C679AC"/>
    <w:rsid w:val="00C715CC"/>
    <w:rsid w:val="00C85D74"/>
    <w:rsid w:val="00C9543C"/>
    <w:rsid w:val="00C95D3F"/>
    <w:rsid w:val="00CB67EF"/>
    <w:rsid w:val="00CB7AD9"/>
    <w:rsid w:val="00CD07EC"/>
    <w:rsid w:val="00D0035E"/>
    <w:rsid w:val="00D00909"/>
    <w:rsid w:val="00D12BEF"/>
    <w:rsid w:val="00D36C8D"/>
    <w:rsid w:val="00D43876"/>
    <w:rsid w:val="00D62544"/>
    <w:rsid w:val="00D72E5A"/>
    <w:rsid w:val="00D80B7B"/>
    <w:rsid w:val="00D974EF"/>
    <w:rsid w:val="00DC40CE"/>
    <w:rsid w:val="00E03112"/>
    <w:rsid w:val="00E07F3B"/>
    <w:rsid w:val="00E174F1"/>
    <w:rsid w:val="00E469D4"/>
    <w:rsid w:val="00E51B44"/>
    <w:rsid w:val="00E745F5"/>
    <w:rsid w:val="00E828A2"/>
    <w:rsid w:val="00E96C43"/>
    <w:rsid w:val="00EA2882"/>
    <w:rsid w:val="00EB6297"/>
    <w:rsid w:val="00EB66BA"/>
    <w:rsid w:val="00EB6EF0"/>
    <w:rsid w:val="00EB7B34"/>
    <w:rsid w:val="00EC687C"/>
    <w:rsid w:val="00ED7B9D"/>
    <w:rsid w:val="00EE4584"/>
    <w:rsid w:val="00F01E24"/>
    <w:rsid w:val="00F2133D"/>
    <w:rsid w:val="00F2160C"/>
    <w:rsid w:val="00F30ED4"/>
    <w:rsid w:val="00F35612"/>
    <w:rsid w:val="00F51D9C"/>
    <w:rsid w:val="00F60D6A"/>
    <w:rsid w:val="00F610ED"/>
    <w:rsid w:val="00F77B68"/>
    <w:rsid w:val="00F83415"/>
    <w:rsid w:val="00F8795B"/>
    <w:rsid w:val="00F90B77"/>
    <w:rsid w:val="00FC6F3E"/>
    <w:rsid w:val="00FE222A"/>
    <w:rsid w:val="00FF65A2"/>
    <w:rsid w:val="016B1BE3"/>
    <w:rsid w:val="039618DC"/>
    <w:rsid w:val="03B5477A"/>
    <w:rsid w:val="04575C50"/>
    <w:rsid w:val="073D6964"/>
    <w:rsid w:val="08CD484A"/>
    <w:rsid w:val="09AB5D37"/>
    <w:rsid w:val="0A0A0138"/>
    <w:rsid w:val="0AC55D37"/>
    <w:rsid w:val="0B624CBC"/>
    <w:rsid w:val="0BF71DAF"/>
    <w:rsid w:val="0CD10083"/>
    <w:rsid w:val="0E404BD8"/>
    <w:rsid w:val="0E6C24E1"/>
    <w:rsid w:val="0F16079E"/>
    <w:rsid w:val="0F5E3277"/>
    <w:rsid w:val="0FAD2C76"/>
    <w:rsid w:val="104C759F"/>
    <w:rsid w:val="1084326A"/>
    <w:rsid w:val="12CC47B6"/>
    <w:rsid w:val="137B6173"/>
    <w:rsid w:val="142C6C88"/>
    <w:rsid w:val="149F2FE4"/>
    <w:rsid w:val="14D33659"/>
    <w:rsid w:val="14D72DA7"/>
    <w:rsid w:val="15944F11"/>
    <w:rsid w:val="15AA689B"/>
    <w:rsid w:val="167B1991"/>
    <w:rsid w:val="19856C4C"/>
    <w:rsid w:val="198F3083"/>
    <w:rsid w:val="1A3349A9"/>
    <w:rsid w:val="1A451B07"/>
    <w:rsid w:val="1DC00E64"/>
    <w:rsid w:val="1E7D60AC"/>
    <w:rsid w:val="1F3B6601"/>
    <w:rsid w:val="1F9A2D26"/>
    <w:rsid w:val="1FFB4732"/>
    <w:rsid w:val="20512F38"/>
    <w:rsid w:val="24122282"/>
    <w:rsid w:val="26C80178"/>
    <w:rsid w:val="26F90276"/>
    <w:rsid w:val="287732F1"/>
    <w:rsid w:val="28A864B3"/>
    <w:rsid w:val="2A5A37DD"/>
    <w:rsid w:val="2B367DA6"/>
    <w:rsid w:val="2B5E2A64"/>
    <w:rsid w:val="2BC52A01"/>
    <w:rsid w:val="2CB5013C"/>
    <w:rsid w:val="2F2039F6"/>
    <w:rsid w:val="30540900"/>
    <w:rsid w:val="309E3961"/>
    <w:rsid w:val="30A567B5"/>
    <w:rsid w:val="30B82E7D"/>
    <w:rsid w:val="335D2BF6"/>
    <w:rsid w:val="385351A6"/>
    <w:rsid w:val="38975BFC"/>
    <w:rsid w:val="39DF5964"/>
    <w:rsid w:val="3AC441D6"/>
    <w:rsid w:val="3C6D5A4D"/>
    <w:rsid w:val="3CD3153A"/>
    <w:rsid w:val="3D4346CC"/>
    <w:rsid w:val="3D8B39C8"/>
    <w:rsid w:val="3D8F38C4"/>
    <w:rsid w:val="3E044692"/>
    <w:rsid w:val="3E2D5039"/>
    <w:rsid w:val="3F177A97"/>
    <w:rsid w:val="3FA424C3"/>
    <w:rsid w:val="41436516"/>
    <w:rsid w:val="4168654A"/>
    <w:rsid w:val="41925E1B"/>
    <w:rsid w:val="41C96BB7"/>
    <w:rsid w:val="441E340C"/>
    <w:rsid w:val="44B77E98"/>
    <w:rsid w:val="45F44AE0"/>
    <w:rsid w:val="47E74A09"/>
    <w:rsid w:val="48D72771"/>
    <w:rsid w:val="4B0F7D10"/>
    <w:rsid w:val="4B6F0C87"/>
    <w:rsid w:val="4D561ACF"/>
    <w:rsid w:val="4D73058E"/>
    <w:rsid w:val="4EEA322C"/>
    <w:rsid w:val="4F86310C"/>
    <w:rsid w:val="4FC95CBA"/>
    <w:rsid w:val="4FD25A40"/>
    <w:rsid w:val="5056380F"/>
    <w:rsid w:val="505E761F"/>
    <w:rsid w:val="51F77BF4"/>
    <w:rsid w:val="56097CE2"/>
    <w:rsid w:val="564A004F"/>
    <w:rsid w:val="56DA4FD5"/>
    <w:rsid w:val="590F084F"/>
    <w:rsid w:val="5A0A227A"/>
    <w:rsid w:val="5B667984"/>
    <w:rsid w:val="5D956A60"/>
    <w:rsid w:val="5D985754"/>
    <w:rsid w:val="5F376FAC"/>
    <w:rsid w:val="60617554"/>
    <w:rsid w:val="65600A8A"/>
    <w:rsid w:val="668F6486"/>
    <w:rsid w:val="66B94F97"/>
    <w:rsid w:val="670A2AAF"/>
    <w:rsid w:val="67137790"/>
    <w:rsid w:val="672F1572"/>
    <w:rsid w:val="6A8D2BE3"/>
    <w:rsid w:val="6B43739A"/>
    <w:rsid w:val="6C8D2613"/>
    <w:rsid w:val="6CE30E35"/>
    <w:rsid w:val="6E764468"/>
    <w:rsid w:val="6EBD4A7B"/>
    <w:rsid w:val="7048541D"/>
    <w:rsid w:val="70616D8A"/>
    <w:rsid w:val="70E32D44"/>
    <w:rsid w:val="71A271B2"/>
    <w:rsid w:val="7280022E"/>
    <w:rsid w:val="729F57FE"/>
    <w:rsid w:val="75D6422E"/>
    <w:rsid w:val="77204B55"/>
    <w:rsid w:val="77B04009"/>
    <w:rsid w:val="786F403B"/>
    <w:rsid w:val="78AF1B88"/>
    <w:rsid w:val="7A437CB7"/>
    <w:rsid w:val="7AB723BD"/>
    <w:rsid w:val="7AE7BC12"/>
    <w:rsid w:val="7BC049B4"/>
    <w:rsid w:val="7ED22AB7"/>
    <w:rsid w:val="FFEE18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napToGrid w:val="0"/>
      <w:spacing w:line="540" w:lineRule="exact"/>
      <w:ind w:firstLine="640" w:firstLineChars="200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rFonts w:asciiTheme="minorHAnsi" w:hAnsiTheme="minorHAnsi" w:cstheme="minorBidi"/>
    </w:r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Body Text"/>
    <w:basedOn w:val="1"/>
    <w:autoRedefine/>
    <w:qFormat/>
    <w:uiPriority w:val="0"/>
    <w:pPr>
      <w:widowControl/>
      <w:spacing w:before="100" w:beforeAutospacing="1" w:after="100" w:afterAutospacing="1"/>
    </w:pPr>
    <w:rPr>
      <w:rFonts w:ascii="宋体" w:hAnsi="宋体" w:cs="Times New Roman"/>
      <w:kern w:val="0"/>
      <w:sz w:val="24"/>
      <w:szCs w:val="24"/>
    </w:rPr>
  </w:style>
  <w:style w:type="paragraph" w:styleId="5">
    <w:name w:val="Block Text"/>
    <w:basedOn w:val="1"/>
    <w:autoRedefine/>
    <w:qFormat/>
    <w:uiPriority w:val="99"/>
    <w:pPr>
      <w:spacing w:line="460" w:lineRule="exact"/>
      <w:ind w:left="-171" w:leftChars="-171" w:right="-159" w:rightChars="-159" w:firstLine="450"/>
    </w:pPr>
    <w:rPr>
      <w:sz w:val="30"/>
      <w:szCs w:val="30"/>
    </w:rPr>
  </w:style>
  <w:style w:type="paragraph" w:styleId="6">
    <w:name w:val="Plain Text"/>
    <w:basedOn w:val="1"/>
    <w:next w:val="1"/>
    <w:autoRedefine/>
    <w:qFormat/>
    <w:uiPriority w:val="0"/>
    <w:pPr>
      <w:spacing w:line="560" w:lineRule="exact"/>
      <w:ind w:firstLine="200"/>
    </w:pPr>
    <w:rPr>
      <w:rFonts w:ascii="宋体" w:hAnsi="Courier New" w:eastAsia="仿宋" w:cs="Times New Roman"/>
    </w:rPr>
  </w:style>
  <w:style w:type="paragraph" w:styleId="7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9">
    <w:name w:val="header"/>
    <w:basedOn w:val="1"/>
    <w:link w:val="13"/>
    <w:autoRedefine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Body Text First Indent 2"/>
    <w:autoRedefine/>
    <w:qFormat/>
    <w:uiPriority w:val="0"/>
    <w:pPr>
      <w:widowControl w:val="0"/>
      <w:spacing w:after="120" w:line="560" w:lineRule="exact"/>
      <w:ind w:left="420" w:leftChars="200" w:firstLine="420" w:firstLineChars="20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customStyle="1" w:styleId="13">
    <w:name w:val="页眉 字符"/>
    <w:basedOn w:val="12"/>
    <w:link w:val="9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12"/>
    <w:link w:val="8"/>
    <w:autoRedefine/>
    <w:qFormat/>
    <w:uiPriority w:val="99"/>
    <w:rPr>
      <w:sz w:val="18"/>
      <w:szCs w:val="18"/>
    </w:rPr>
  </w:style>
  <w:style w:type="character" w:customStyle="1" w:styleId="15">
    <w:name w:val="批注框文本 字符"/>
    <w:basedOn w:val="12"/>
    <w:link w:val="7"/>
    <w:autoRedefine/>
    <w:semiHidden/>
    <w:qFormat/>
    <w:uiPriority w:val="99"/>
    <w:rPr>
      <w:sz w:val="18"/>
      <w:szCs w:val="18"/>
    </w:rPr>
  </w:style>
  <w:style w:type="paragraph" w:customStyle="1" w:styleId="16">
    <w:name w:val="正文-未来城"/>
    <w:autoRedefine/>
    <w:qFormat/>
    <w:uiPriority w:val="0"/>
    <w:pPr>
      <w:widowControl w:val="0"/>
      <w:spacing w:line="560" w:lineRule="exact"/>
      <w:ind w:firstLine="600" w:firstLineChars="200"/>
      <w:jc w:val="both"/>
    </w:pPr>
    <w:rPr>
      <w:rFonts w:hint="eastAsia" w:ascii="仿宋_GB2312" w:hAnsi="仿宋_GB2312" w:eastAsia="仿宋_GB2312" w:cs="仿宋_GB2312"/>
      <w:bCs/>
      <w:kern w:val="2"/>
      <w:sz w:val="32"/>
      <w:szCs w:val="32"/>
      <w:lang w:val="en-US" w:eastAsia="zh-CN" w:bidi="ar-SA"/>
    </w:rPr>
  </w:style>
  <w:style w:type="paragraph" w:customStyle="1" w:styleId="17">
    <w:name w:val="题目"/>
    <w:autoRedefine/>
    <w:qFormat/>
    <w:uiPriority w:val="0"/>
    <w:pPr>
      <w:widowControl w:val="0"/>
      <w:spacing w:line="560" w:lineRule="exact"/>
      <w:jc w:val="center"/>
    </w:pPr>
    <w:rPr>
      <w:rFonts w:hint="eastAsia" w:ascii="方正小标宋简体" w:hAnsi="方正小标宋简体" w:eastAsia="方正小标宋简体" w:cs="Times New Roman"/>
      <w:kern w:val="2"/>
      <w:sz w:val="44"/>
      <w:szCs w:val="22"/>
      <w:lang w:val="en-US" w:eastAsia="zh-CN" w:bidi="ar-SA"/>
    </w:rPr>
  </w:style>
  <w:style w:type="paragraph" w:customStyle="1" w:styleId="18">
    <w:name w:val="修订1"/>
    <w:autoRedefine/>
    <w:hidden/>
    <w:unhideWhenUsed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19">
    <w:name w:val="修订2"/>
    <w:autoRedefine/>
    <w:hidden/>
    <w:unhideWhenUsed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20">
    <w:name w:val="修订3"/>
    <w:autoRedefine/>
    <w:hidden/>
    <w:semiHidden/>
    <w:qFormat/>
    <w:uiPriority w:val="99"/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1241</Words>
  <Characters>1281</Characters>
  <Lines>8</Lines>
  <Paragraphs>2</Paragraphs>
  <TotalTime>36</TotalTime>
  <ScaleCrop>false</ScaleCrop>
  <LinksUpToDate>false</LinksUpToDate>
  <CharactersWithSpaces>1281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2025-02-05T12:08:00Z</dcterms:created>
  <dc:creator>仕维 孙</dc:creator>
  <cp:lastModifiedBy>Van Coster</cp:lastModifiedBy>
  <cp:lastPrinted>2024-01-24T15:52:00Z</cp:lastPrinted>
  <dcterms:modified xsi:type="dcterms:W3CDTF">2025-03-19T03:14:26Z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ACA18006546E479398B28D165EC01158_13</vt:lpwstr>
  </property>
  <property fmtid="{D5CDD505-2E9C-101B-9397-08002B2CF9AE}" pid="3" name="KSOProductBuildVer">
    <vt:lpwstr>2052-12.1.0.20305</vt:lpwstr>
  </property>
  <property fmtid="{D5CDD505-2E9C-101B-9397-08002B2CF9AE}" pid="4" name="KSOTemplateDocerSaveRecord">
    <vt:lpwstr>eyJoZGlkIjoiNTgzMmMyY2QzNzUwNTE3MmQ5YjFiYTcwMTI1ZDgwMzkiLCJ1c2VySWQiOiI1NzUwODUzMjMifQ==</vt:lpwstr>
  </property>
</Properties>
</file>