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360" w:lineRule="auto"/>
        <w:rPr>
          <w:rFonts w:hint="eastAsia" w:ascii="黑体" w:hAnsi="黑体" w:eastAsia="黑体" w:cs="黑体"/>
          <w:sz w:val="32"/>
          <w:szCs w:val="32"/>
        </w:rPr>
      </w:pPr>
      <w:r>
        <w:rPr>
          <w:rFonts w:hint="eastAsia" w:ascii="黑体" w:hAnsi="黑体" w:eastAsia="黑体" w:cs="黑体"/>
          <w:sz w:val="32"/>
          <w:szCs w:val="32"/>
        </w:rPr>
        <w:t>践行</w:t>
      </w:r>
      <w:r>
        <w:rPr>
          <w:rFonts w:hint="eastAsia" w:ascii="黑体" w:hAnsi="黑体" w:eastAsia="黑体" w:cs="黑体"/>
          <w:sz w:val="32"/>
          <w:szCs w:val="32"/>
          <w:lang w:val="en-US" w:eastAsia="zh-CN"/>
        </w:rPr>
        <w:t>“以中国之思想、创世界之科技”</w:t>
      </w:r>
      <w:r>
        <w:rPr>
          <w:rFonts w:hint="eastAsia" w:ascii="黑体" w:hAnsi="黑体" w:eastAsia="黑体" w:cs="黑体"/>
          <w:sz w:val="32"/>
          <w:szCs w:val="32"/>
          <w:lang w:eastAsia="zh-CN"/>
        </w:rPr>
        <w:t>，</w:t>
      </w:r>
      <w:r>
        <w:rPr>
          <w:rFonts w:hint="eastAsia" w:ascii="黑体" w:hAnsi="黑体" w:eastAsia="黑体" w:cs="黑体"/>
          <w:sz w:val="32"/>
          <w:szCs w:val="32"/>
        </w:rPr>
        <w:t>2024中关村论坛通用人工智能论坛成功举办</w:t>
      </w:r>
    </w:p>
    <w:p>
      <w:pPr>
        <w:keepNext w:val="0"/>
        <w:keepLines w:val="0"/>
        <w:pageBreakBefore w:val="0"/>
        <w:widowControl w:val="0"/>
        <w:kinsoku/>
        <w:wordWrap/>
        <w:overflowPunct/>
        <w:topLinePunct w:val="0"/>
        <w:autoSpaceDE/>
        <w:autoSpaceDN/>
        <w:bidi w:val="0"/>
        <w:adjustRightInd/>
        <w:snapToGrid/>
        <w:spacing w:line="360" w:lineRule="auto"/>
        <w:ind w:firstLine="561" w:firstLineChars="200"/>
        <w:textAlignment w:val="auto"/>
        <w:rPr>
          <w:rFonts w:hint="eastAsia" w:ascii="黑体" w:hAnsi="黑体" w:eastAsia="黑体" w:cs="黑体"/>
          <w:b/>
          <w:sz w:val="28"/>
          <w:szCs w:val="28"/>
        </w:rPr>
      </w:pPr>
      <w:r>
        <w:rPr>
          <w:rFonts w:hint="eastAsia" w:ascii="黑体" w:hAnsi="黑体" w:eastAsia="黑体" w:cs="黑体"/>
          <w:b/>
          <w:sz w:val="28"/>
          <w:szCs w:val="28"/>
          <w:lang w:val="en-US" w:eastAsia="zh-Hans"/>
        </w:rPr>
        <w:t>备选标题一</w:t>
      </w:r>
      <w:r>
        <w:rPr>
          <w:rFonts w:hint="eastAsia" w:ascii="黑体" w:hAnsi="黑体" w:eastAsia="黑体" w:cs="黑体"/>
          <w:b/>
          <w:sz w:val="28"/>
          <w:szCs w:val="28"/>
        </w:rPr>
        <w:t>：聚焦</w:t>
      </w:r>
      <w:r>
        <w:rPr>
          <w:rFonts w:hint="eastAsia" w:ascii="黑体" w:hAnsi="黑体" w:eastAsia="黑体" w:cs="黑体"/>
          <w:b/>
          <w:sz w:val="28"/>
          <w:szCs w:val="28"/>
          <w:lang w:val="en-US" w:eastAsia="zh-CN"/>
        </w:rPr>
        <w:t>原始</w:t>
      </w:r>
      <w:r>
        <w:rPr>
          <w:rFonts w:hint="eastAsia" w:ascii="黑体" w:hAnsi="黑体" w:eastAsia="黑体" w:cs="黑体"/>
          <w:b/>
          <w:sz w:val="28"/>
          <w:szCs w:val="28"/>
        </w:rPr>
        <w:t>技术</w:t>
      </w:r>
      <w:r>
        <w:rPr>
          <w:rFonts w:hint="eastAsia" w:ascii="黑体" w:hAnsi="黑体" w:eastAsia="黑体" w:cs="黑体"/>
          <w:b/>
          <w:sz w:val="28"/>
          <w:szCs w:val="28"/>
          <w:lang w:val="en-US" w:eastAsia="zh-CN"/>
        </w:rPr>
        <w:t>创新</w:t>
      </w:r>
      <w:r>
        <w:rPr>
          <w:rFonts w:hint="eastAsia" w:ascii="黑体" w:hAnsi="黑体" w:eastAsia="黑体" w:cs="黑体"/>
          <w:b/>
          <w:sz w:val="28"/>
          <w:szCs w:val="28"/>
        </w:rPr>
        <w:t>与产业实践，2024中关村论坛通用人工智能论坛成功举办</w:t>
      </w:r>
    </w:p>
    <w:p>
      <w:pPr>
        <w:spacing w:line="360" w:lineRule="auto"/>
        <w:jc w:val="center"/>
        <w:rPr>
          <w:sz w:val="24"/>
        </w:rPr>
      </w:pPr>
      <w:r>
        <w:rPr>
          <w:rFonts w:hint="eastAsia" w:ascii="黑体" w:hAnsi="黑体" w:eastAsia="黑体" w:cs="黑体"/>
          <w:b/>
          <w:sz w:val="28"/>
          <w:szCs w:val="28"/>
          <w:lang w:val="en-US" w:eastAsia="zh-Hans"/>
        </w:rPr>
        <w:t>备选标题二</w:t>
      </w:r>
      <w:r>
        <w:rPr>
          <w:rFonts w:hint="eastAsia" w:ascii="黑体" w:hAnsi="黑体" w:eastAsia="黑体" w:cs="黑体"/>
          <w:b/>
          <w:sz w:val="28"/>
          <w:szCs w:val="28"/>
        </w:rPr>
        <w:t>：“通”向未来！2024中关村论坛通用人工智能论坛成功举办</w:t>
      </w:r>
    </w:p>
    <w:p>
      <w:pPr>
        <w:keepNext w:val="0"/>
        <w:keepLines w:val="0"/>
        <w:pageBreakBefore w:val="0"/>
        <w:widowControl w:val="0"/>
        <w:kinsoku/>
        <w:wordWrap/>
        <w:overflowPunct/>
        <w:topLinePunct w:val="0"/>
        <w:autoSpaceDE/>
        <w:autoSpaceDN/>
        <w:bidi w:val="0"/>
        <w:adjustRightInd/>
        <w:spacing w:line="360" w:lineRule="auto"/>
        <w:ind w:firstLine="560" w:firstLineChars="200"/>
        <w:jc w:val="center"/>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rPr>
        <w:t>2024年4月25日-29日，以“创新：建设更加美好的世界”为主题的2024中关村论坛在北京召开。作为中关村论坛平行论坛之一，通用人工智能论坛于4月27日召开</w:t>
      </w:r>
      <w:r>
        <w:rPr>
          <w:rFonts w:hint="eastAsia" w:ascii="仿宋_GB2312" w:hAnsi="仿宋_GB2312" w:eastAsia="仿宋_GB2312" w:cs="仿宋_GB2312"/>
          <w:sz w:val="28"/>
          <w:szCs w:val="28"/>
          <w:lang w:eastAsia="zh-CN"/>
        </w:rPr>
        <w:t>，本次活动是2024中关村论坛年会人工智能主题日系列论坛之一</w:t>
      </w:r>
      <w:r>
        <w:rPr>
          <w:rFonts w:hint="eastAsia" w:ascii="仿宋_GB2312" w:hAnsi="仿宋_GB2312" w:eastAsia="仿宋_GB2312" w:cs="仿宋_GB2312"/>
          <w:sz w:val="28"/>
          <w:szCs w:val="28"/>
        </w:rPr>
        <w:t>。论坛由北京市科学技术委员会、中关村科技园区管理委员会，北京市海淀区人民政府主办，由北京通用人工智能研究院（以下简称“通研院”）、北京大学人工智能研究院、北京大学智能学院、清华大学自动化系承办，安远AI协办，汇聚海内外顶尖专家学者分享最新技术趋势、邀请行业专家展示前沿科技成果、吸引企业领袖探讨产业发展机遇</w:t>
      </w:r>
      <w:bookmarkStart w:id="0" w:name="_GoBack"/>
      <w:bookmarkEnd w:id="0"/>
      <w:r>
        <w:rPr>
          <w:rFonts w:hint="eastAsia" w:ascii="仿宋_GB2312" w:hAnsi="仿宋_GB2312" w:eastAsia="仿宋_GB2312" w:cs="仿宋_GB2312"/>
          <w:sz w:val="28"/>
          <w:szCs w:val="28"/>
          <w:lang w:eastAsia="zh-CN"/>
        </w:rPr>
        <w:drawing>
          <wp:inline distT="0" distB="0" distL="114300" distR="114300">
            <wp:extent cx="4502785" cy="3002280"/>
            <wp:effectExtent l="0" t="0" r="18415" b="20320"/>
            <wp:docPr id="1" name="图片 1" descr="5H8A4049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H8A4049 (1)"/>
                    <pic:cNvPicPr>
                      <a:picLocks noChangeAspect="1"/>
                    </pic:cNvPicPr>
                  </pic:nvPicPr>
                  <pic:blipFill>
                    <a:blip r:embed="rId6"/>
                    <a:stretch>
                      <a:fillRect/>
                    </a:stretch>
                  </pic:blipFill>
                  <pic:spPr>
                    <a:xfrm>
                      <a:off x="0" y="0"/>
                      <a:ext cx="4502785" cy="30022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pacing w:line="360" w:lineRule="auto"/>
        <w:ind w:firstLine="560" w:firstLineChars="200"/>
        <w:jc w:val="center"/>
        <w:textAlignment w:val="auto"/>
        <w:rPr>
          <w:rFonts w:hint="default" w:ascii="仿宋_GB2312" w:hAnsi="仿宋_GB2312" w:eastAsia="仿宋_GB2312" w:cs="仿宋_GB2312"/>
          <w:color w:val="A6A6A6" w:themeColor="background1" w:themeShade="A6"/>
          <w:sz w:val="28"/>
          <w:szCs w:val="28"/>
          <w:lang w:val="en-US" w:eastAsia="zh-CN"/>
        </w:rPr>
      </w:pPr>
      <w:r>
        <w:rPr>
          <w:rFonts w:hint="eastAsia" w:ascii="仿宋_GB2312" w:hAnsi="仿宋_GB2312" w:eastAsia="仿宋_GB2312" w:cs="仿宋_GB2312"/>
          <w:color w:val="A6A6A6" w:themeColor="background1" w:themeShade="A6"/>
          <w:sz w:val="28"/>
          <w:szCs w:val="28"/>
          <w:lang w:val="en-US" w:eastAsia="zh-CN"/>
        </w:rPr>
        <w:t>图|通用人工智能论坛</w:t>
      </w:r>
    </w:p>
    <w:p>
      <w:pPr>
        <w:keepNext w:val="0"/>
        <w:keepLines w:val="0"/>
        <w:pageBreakBefore w:val="0"/>
        <w:widowControl w:val="0"/>
        <w:kinsoku/>
        <w:wordWrap/>
        <w:overflowPunct/>
        <w:topLinePunct w:val="0"/>
        <w:autoSpaceDE/>
        <w:autoSpaceDN/>
        <w:bidi w:val="0"/>
        <w:adjustRightInd/>
        <w:snapToGrid w:val="0"/>
        <w:spacing w:line="360" w:lineRule="auto"/>
        <w:ind w:firstLine="0" w:firstLineChars="0"/>
        <w:textAlignment w:val="auto"/>
        <w:rPr>
          <w:rFonts w:hint="eastAsia" w:ascii="黑体" w:hAnsi="黑体" w:eastAsia="黑体" w:cs="黑体"/>
          <w:b/>
          <w:sz w:val="28"/>
          <w:szCs w:val="28"/>
        </w:rPr>
      </w:pPr>
      <w:r>
        <w:rPr>
          <w:rFonts w:hint="eastAsia" w:ascii="黑体" w:hAnsi="黑体" w:eastAsia="黑体" w:cs="黑体"/>
          <w:b/>
          <w:sz w:val="28"/>
          <w:szCs w:val="28"/>
        </w:rPr>
        <w:t>四大科研成果</w:t>
      </w:r>
      <w:r>
        <w:rPr>
          <w:rFonts w:hint="eastAsia" w:ascii="黑体" w:hAnsi="黑体" w:eastAsia="黑体" w:cs="黑体"/>
          <w:b/>
          <w:sz w:val="28"/>
          <w:szCs w:val="28"/>
          <w:lang w:val="en-US" w:eastAsia="zh-CN"/>
        </w:rPr>
        <w:t>发布</w:t>
      </w:r>
      <w:r>
        <w:rPr>
          <w:rFonts w:hint="eastAsia" w:ascii="黑体" w:hAnsi="黑体" w:eastAsia="黑体" w:cs="黑体"/>
          <w:b/>
          <w:sz w:val="28"/>
          <w:szCs w:val="28"/>
        </w:rPr>
        <w:t>，</w:t>
      </w:r>
      <w:r>
        <w:rPr>
          <w:rFonts w:hint="eastAsia" w:ascii="黑体" w:hAnsi="黑体" w:eastAsia="黑体" w:cs="黑体"/>
          <w:b/>
          <w:sz w:val="28"/>
          <w:szCs w:val="28"/>
          <w:lang w:val="en-US" w:eastAsia="zh-CN"/>
        </w:rPr>
        <w:t>以原始创新</w:t>
      </w:r>
      <w:r>
        <w:rPr>
          <w:rFonts w:hint="eastAsia" w:ascii="黑体" w:hAnsi="黑体" w:eastAsia="黑体" w:cs="黑体"/>
          <w:b/>
          <w:sz w:val="28"/>
          <w:szCs w:val="28"/>
        </w:rPr>
        <w:t>引领通用人工智能航向</w:t>
      </w:r>
    </w:p>
    <w:p>
      <w:pPr>
        <w:keepNext w:val="0"/>
        <w:keepLines w:val="0"/>
        <w:pageBreakBefore w:val="0"/>
        <w:widowControl w:val="0"/>
        <w:kinsoku/>
        <w:wordWrap/>
        <w:overflowPunct/>
        <w:topLinePunct w:val="0"/>
        <w:autoSpaceDE/>
        <w:autoSpaceDN/>
        <w:bidi w:val="0"/>
        <w:adjustRightIn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通用人工智能是新质生产力的典型代表。构建能够理解真实世界的通用智能体，是迈向通用人工智能的必要条件。为此，通研院研发的通用人工智能大任务仿真平台“通界” (TongSIM)，为通用智能体“通通”提供了一个与现实世界高度仿真的“家园”。TongSIM拥有虚拟环境构建、物理及因果逻辑仿真以及智能体环境感知等功能特性，能够为通用智能体提供丰富的任务训练环境，并支持对通用智能体的智能能力进行全面的测试。TongSIM见证了通用智能人“通通”的整个成长经历，未来，不仅将继续陪伴“通通”的成长，还将探索在具身智能、机器人服务等拓展领域的应用空间。</w:t>
      </w:r>
    </w:p>
    <w:p>
      <w:pPr>
        <w:keepNext w:val="0"/>
        <w:keepLines w:val="0"/>
        <w:pageBreakBefore w:val="0"/>
        <w:widowControl w:val="0"/>
        <w:kinsoku/>
        <w:wordWrap/>
        <w:overflowPunct/>
        <w:topLinePunct w:val="0"/>
        <w:autoSpaceDE/>
        <w:autoSpaceDN/>
        <w:bidi w:val="0"/>
        <w:adjustRightInd/>
        <w:spacing w:line="360" w:lineRule="auto"/>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drawing>
          <wp:inline distT="0" distB="0" distL="114300" distR="114300">
            <wp:extent cx="5754370" cy="3237230"/>
            <wp:effectExtent l="0" t="0" r="11430" b="13970"/>
            <wp:docPr id="8" name="图片 8" descr="748d1b2d449d47d9a466bf54d32f3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748d1b2d449d47d9a466bf54d32f31f"/>
                    <pic:cNvPicPr>
                      <a:picLocks noChangeAspect="1"/>
                    </pic:cNvPicPr>
                  </pic:nvPicPr>
                  <pic:blipFill>
                    <a:blip r:embed="rId7"/>
                    <a:stretch>
                      <a:fillRect/>
                    </a:stretch>
                  </pic:blipFill>
                  <pic:spPr>
                    <a:xfrm>
                      <a:off x="0" y="0"/>
                      <a:ext cx="5754370" cy="323723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pacing w:line="360" w:lineRule="auto"/>
        <w:ind w:firstLine="560" w:firstLineChars="200"/>
        <w:jc w:val="center"/>
        <w:textAlignment w:val="auto"/>
        <w:rPr>
          <w:rFonts w:hint="eastAsia" w:ascii="仿宋_GB2312" w:hAnsi="仿宋_GB2312" w:eastAsia="仿宋_GB2312" w:cs="仿宋_GB2312"/>
          <w:color w:val="A6A6A6" w:themeColor="background1" w:themeShade="A6"/>
          <w:sz w:val="28"/>
          <w:szCs w:val="28"/>
          <w:lang w:val="en-US" w:eastAsia="zh-CN"/>
        </w:rPr>
      </w:pPr>
      <w:r>
        <w:rPr>
          <w:rFonts w:hint="eastAsia" w:ascii="仿宋_GB2312" w:hAnsi="仿宋_GB2312" w:eastAsia="仿宋_GB2312" w:cs="仿宋_GB2312"/>
          <w:color w:val="A6A6A6" w:themeColor="background1" w:themeShade="A6"/>
          <w:sz w:val="28"/>
          <w:szCs w:val="28"/>
          <w:lang w:val="en-US" w:eastAsia="zh-CN"/>
        </w:rPr>
        <w:t>图|通用人工智能大任务仿真平台“通界” (TongSIM)</w:t>
      </w:r>
    </w:p>
    <w:p>
      <w:pPr>
        <w:keepNext w:val="0"/>
        <w:keepLines w:val="0"/>
        <w:pageBreakBefore w:val="0"/>
        <w:widowControl w:val="0"/>
        <w:kinsoku/>
        <w:wordWrap/>
        <w:overflowPunct/>
        <w:topLinePunct w:val="0"/>
        <w:autoSpaceDE/>
        <w:autoSpaceDN/>
        <w:bidi w:val="0"/>
        <w:adjustRightIn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作为全球首个通用智能体，“通通”的出现成为本次成果发布的最大亮点。基于原创的认知架构理论框架，以及自主研发的学习和推理框架，“通通”拥有了与众不同的“心智”，区别于数据驱动的AI，以价值和因果驱动</w:t>
      </w:r>
      <w:r>
        <w:rPr>
          <w:rFonts w:hint="eastAsia" w:ascii="仿宋_GB2312" w:hAnsi="仿宋_GB2312" w:eastAsia="仿宋_GB2312" w:cs="仿宋_GB2312"/>
          <w:sz w:val="28"/>
          <w:szCs w:val="28"/>
          <w:lang w:eastAsia="zh-CN"/>
        </w:rPr>
        <w:t>的</w:t>
      </w:r>
      <w:r>
        <w:rPr>
          <w:rFonts w:hint="eastAsia" w:ascii="仿宋_GB2312" w:hAnsi="仿宋_GB2312" w:eastAsia="仿宋_GB2312" w:cs="仿宋_GB2312"/>
          <w:sz w:val="28"/>
          <w:szCs w:val="28"/>
        </w:rPr>
        <w:t>“通通”能够根据自己的“价值观”做出可解释的决策，而不是简单地执行预设的程序</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“通通”</w:t>
      </w:r>
      <w:r>
        <w:rPr>
          <w:rFonts w:hint="eastAsia" w:ascii="仿宋_GB2312" w:hAnsi="仿宋_GB2312" w:eastAsia="仿宋_GB2312" w:cs="仿宋_GB2312"/>
          <w:sz w:val="28"/>
          <w:szCs w:val="28"/>
          <w:lang w:eastAsia="zh-CN"/>
        </w:rPr>
        <w:t>的</w:t>
      </w:r>
      <w:r>
        <w:rPr>
          <w:rFonts w:hint="eastAsia" w:ascii="仿宋_GB2312" w:hAnsi="仿宋_GB2312" w:eastAsia="仿宋_GB2312" w:cs="仿宋_GB2312"/>
          <w:sz w:val="28"/>
          <w:szCs w:val="28"/>
          <w:lang w:val="en-US" w:eastAsia="zh-CN"/>
        </w:rPr>
        <w:t>研发</w:t>
      </w:r>
      <w:r>
        <w:rPr>
          <w:rFonts w:hint="eastAsia" w:ascii="仿宋_GB2312" w:hAnsi="仿宋_GB2312" w:eastAsia="仿宋_GB2312" w:cs="仿宋_GB2312"/>
          <w:sz w:val="28"/>
          <w:szCs w:val="28"/>
        </w:rPr>
        <w:t>避开</w:t>
      </w:r>
      <w:r>
        <w:rPr>
          <w:rFonts w:hint="eastAsia" w:ascii="仿宋_GB2312" w:hAnsi="仿宋_GB2312" w:eastAsia="仿宋_GB2312" w:cs="仿宋_GB2312"/>
          <w:sz w:val="28"/>
          <w:szCs w:val="28"/>
          <w:lang w:eastAsia="zh-CN"/>
        </w:rPr>
        <w:t>了</w:t>
      </w:r>
      <w:r>
        <w:rPr>
          <w:rFonts w:hint="eastAsia" w:ascii="仿宋_GB2312" w:hAnsi="仿宋_GB2312" w:eastAsia="仿宋_GB2312" w:cs="仿宋_GB2312"/>
          <w:sz w:val="28"/>
          <w:szCs w:val="28"/>
        </w:rPr>
        <w:t>当前数据驱动的AI对大算力、大数据的强依赖</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其</w:t>
      </w:r>
      <w:r>
        <w:rPr>
          <w:rFonts w:hint="eastAsia" w:ascii="仿宋_GB2312" w:hAnsi="仿宋_GB2312" w:eastAsia="仿宋_GB2312" w:cs="仿宋_GB2312"/>
          <w:sz w:val="28"/>
          <w:szCs w:val="28"/>
          <w:lang w:eastAsia="zh-CN"/>
        </w:rPr>
        <w:t>日常训练使用不超过10块A100芯片，</w:t>
      </w:r>
      <w:r>
        <w:rPr>
          <w:rFonts w:hint="eastAsia" w:ascii="仿宋_GB2312" w:hAnsi="仿宋_GB2312" w:eastAsia="仿宋_GB2312" w:cs="仿宋_GB2312"/>
          <w:sz w:val="28"/>
          <w:szCs w:val="28"/>
          <w:lang w:val="en-US" w:eastAsia="zh-CN"/>
        </w:rPr>
        <w:t>意味着</w:t>
      </w:r>
      <w:r>
        <w:rPr>
          <w:rFonts w:hint="eastAsia" w:ascii="仿宋_GB2312" w:hAnsi="仿宋_GB2312" w:eastAsia="仿宋_GB2312" w:cs="仿宋_GB2312"/>
          <w:sz w:val="28"/>
          <w:szCs w:val="28"/>
        </w:rPr>
        <w:t>无需依赖庞大的计算资源和海量数据“通通”即可自主学习与成长。同时，“通通”已具备智能泛化能力，能够成为各类垂直应用场景的通用底座。</w:t>
      </w:r>
    </w:p>
    <w:p>
      <w:pPr>
        <w:keepNext w:val="0"/>
        <w:keepLines w:val="0"/>
        <w:pageBreakBefore w:val="0"/>
        <w:widowControl w:val="0"/>
        <w:kinsoku/>
        <w:wordWrap/>
        <w:overflowPunct/>
        <w:topLinePunct w:val="0"/>
        <w:autoSpaceDE/>
        <w:autoSpaceDN/>
        <w:bidi w:val="0"/>
        <w:adjustRightInd/>
        <w:spacing w:line="360" w:lineRule="auto"/>
        <w:ind w:firstLine="560" w:firstLineChars="200"/>
        <w:textAlignment w:val="auto"/>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在现场交互环节，“通通”不仅会主动观察周围环境，也会通过照镜子认识自己；当“通通”发现互动者把饮料打翻，她会基于“爱干净”的价值观主动清理；面对比自己高的洗手台，“通通”自行在房间内找到凳子，踩在凳子上清洗被弄脏的抹布。“眼里有活儿”的“通通”一经亮相就成为全场关注的焦点。</w:t>
      </w:r>
    </w:p>
    <w:p>
      <w:pPr>
        <w:keepNext w:val="0"/>
        <w:keepLines w:val="0"/>
        <w:pageBreakBefore w:val="0"/>
        <w:widowControl w:val="0"/>
        <w:kinsoku/>
        <w:wordWrap/>
        <w:overflowPunct/>
        <w:topLinePunct w:val="0"/>
        <w:autoSpaceDE/>
        <w:autoSpaceDN/>
        <w:bidi w:val="0"/>
        <w:adjustRightInd/>
        <w:spacing w:line="360" w:lineRule="auto"/>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drawing>
          <wp:inline distT="0" distB="0" distL="114300" distR="114300">
            <wp:extent cx="5754370" cy="3237230"/>
            <wp:effectExtent l="0" t="0" r="11430" b="13970"/>
            <wp:docPr id="7" name="图片 7" descr="da9a2b3beabc81c1ff68564564ea1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a9a2b3beabc81c1ff68564564ea1da"/>
                    <pic:cNvPicPr>
                      <a:picLocks noChangeAspect="1"/>
                    </pic:cNvPicPr>
                  </pic:nvPicPr>
                  <pic:blipFill>
                    <a:blip r:embed="rId8"/>
                    <a:stretch>
                      <a:fillRect/>
                    </a:stretch>
                  </pic:blipFill>
                  <pic:spPr>
                    <a:xfrm>
                      <a:off x="0" y="0"/>
                      <a:ext cx="5754370" cy="323723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pacing w:line="360" w:lineRule="auto"/>
        <w:ind w:firstLine="560" w:firstLineChars="200"/>
        <w:jc w:val="center"/>
        <w:textAlignment w:val="auto"/>
        <w:rPr>
          <w:rFonts w:hint="eastAsia" w:ascii="仿宋_GB2312" w:hAnsi="仿宋_GB2312" w:eastAsia="仿宋_GB2312" w:cs="仿宋_GB2312"/>
          <w:color w:val="A6A6A6" w:themeColor="background1" w:themeShade="A6"/>
          <w:sz w:val="28"/>
          <w:szCs w:val="28"/>
          <w:lang w:val="en-US" w:eastAsia="zh-CN"/>
        </w:rPr>
      </w:pPr>
      <w:r>
        <w:rPr>
          <w:rFonts w:hint="eastAsia" w:ascii="仿宋_GB2312" w:hAnsi="仿宋_GB2312" w:eastAsia="仿宋_GB2312" w:cs="仿宋_GB2312"/>
          <w:color w:val="A6A6A6" w:themeColor="background1" w:themeShade="A6"/>
          <w:sz w:val="28"/>
          <w:szCs w:val="28"/>
          <w:lang w:val="en-US" w:eastAsia="zh-CN"/>
        </w:rPr>
        <w:t>图|通用智能人“通通”</w:t>
      </w:r>
    </w:p>
    <w:p>
      <w:pPr>
        <w:keepNext w:val="0"/>
        <w:keepLines w:val="0"/>
        <w:pageBreakBefore w:val="0"/>
        <w:widowControl w:val="0"/>
        <w:pBdr>
          <w:bottom w:val="none" w:color="auto" w:sz="0" w:space="0"/>
        </w:pBdr>
        <w:kinsoku/>
        <w:wordWrap/>
        <w:overflowPunct/>
        <w:topLinePunct w:val="0"/>
        <w:autoSpaceDE/>
        <w:autoSpaceDN/>
        <w:bidi w:val="0"/>
        <w:adjustRightIn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如何衡量“通通”的智能水平？全球首个通用人工智能评级标准与测试平台——“通智测试” (TongTest)给出了答案。TongTest是为评估通用智能体智能水平而设计的综合测试系统。依据发展心理学和心智理论，参考人类婴幼儿发育的测试标准，基于“能力和价值”UV 双系统空间，TongTest从视觉、语言、认知、运动和学习等五个能力维度，以及从个人价值到社交价值再到群体价值等五个价值维度，全面评估智能体的能力和价值观。不仅考量其“智力”水平，而且充分考察其“品格”，确保智能体能够安全、负责任地服务于人类社会。根据TongTest对“通通”的阶段性测试，与人类儿童对比，在复杂动态场景中，“通通”处理复杂任务的能力和价值与人类3-4岁儿童相当。</w:t>
      </w:r>
    </w:p>
    <w:p>
      <w:pPr>
        <w:keepNext w:val="0"/>
        <w:keepLines w:val="0"/>
        <w:pageBreakBefore w:val="0"/>
        <w:widowControl w:val="0"/>
        <w:pBdr>
          <w:bottom w:val="none" w:color="auto" w:sz="0" w:space="0"/>
        </w:pBdr>
        <w:kinsoku/>
        <w:wordWrap/>
        <w:overflowPunct/>
        <w:topLinePunct w:val="0"/>
        <w:autoSpaceDE/>
        <w:autoSpaceDN/>
        <w:bidi w:val="0"/>
        <w:adjustRightInd/>
        <w:spacing w:line="360" w:lineRule="auto"/>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drawing>
          <wp:inline distT="0" distB="0" distL="114300" distR="114300">
            <wp:extent cx="5754370" cy="3237230"/>
            <wp:effectExtent l="0" t="0" r="11430" b="13970"/>
            <wp:docPr id="2" name="图片 2" descr="77ccc4178b457d304ad05a38ba1fa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77ccc4178b457d304ad05a38ba1faf7"/>
                    <pic:cNvPicPr>
                      <a:picLocks noChangeAspect="1"/>
                    </pic:cNvPicPr>
                  </pic:nvPicPr>
                  <pic:blipFill>
                    <a:blip r:embed="rId9"/>
                    <a:stretch>
                      <a:fillRect/>
                    </a:stretch>
                  </pic:blipFill>
                  <pic:spPr>
                    <a:xfrm>
                      <a:off x="0" y="0"/>
                      <a:ext cx="5754370" cy="323723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pacing w:line="360" w:lineRule="auto"/>
        <w:ind w:firstLine="560" w:firstLineChars="200"/>
        <w:jc w:val="center"/>
        <w:textAlignment w:val="auto"/>
        <w:rPr>
          <w:rFonts w:hint="default" w:ascii="仿宋_GB2312" w:hAnsi="仿宋_GB2312" w:eastAsia="仿宋_GB2312" w:cs="仿宋_GB2312"/>
          <w:color w:val="A6A6A6" w:themeColor="background1" w:themeShade="A6"/>
          <w:sz w:val="28"/>
          <w:szCs w:val="28"/>
          <w:lang w:val="en-US" w:eastAsia="zh-CN"/>
        </w:rPr>
      </w:pPr>
      <w:r>
        <w:rPr>
          <w:rFonts w:hint="eastAsia" w:ascii="仿宋_GB2312" w:hAnsi="仿宋_GB2312" w:eastAsia="仿宋_GB2312" w:cs="仿宋_GB2312"/>
          <w:color w:val="A6A6A6" w:themeColor="background1" w:themeShade="A6"/>
          <w:sz w:val="28"/>
          <w:szCs w:val="28"/>
          <w:lang w:val="en-US" w:eastAsia="zh-CN"/>
        </w:rPr>
        <w:t>图|</w:t>
      </w:r>
      <w:r>
        <w:rPr>
          <w:rFonts w:hint="eastAsia" w:ascii="仿宋_GB2312" w:hAnsi="仿宋_GB2312" w:eastAsia="仿宋_GB2312" w:cs="仿宋_GB2312"/>
          <w:color w:val="A6A6A6" w:themeColor="background1" w:themeShade="A6"/>
          <w:sz w:val="28"/>
          <w:szCs w:val="28"/>
        </w:rPr>
        <w:t>通用人工智能评级标准与测试平台——“通智测试” (TongTest)</w:t>
      </w:r>
    </w:p>
    <w:p>
      <w:pPr>
        <w:keepNext w:val="0"/>
        <w:keepLines w:val="0"/>
        <w:pageBreakBefore w:val="0"/>
        <w:widowControl w:val="0"/>
        <w:kinsoku/>
        <w:wordWrap/>
        <w:overflowPunct/>
        <w:topLinePunct w:val="0"/>
        <w:autoSpaceDE/>
        <w:autoSpaceDN/>
        <w:bidi w:val="0"/>
        <w:adjustRightIn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为了将“通通”的能力和价值从虚拟世界带入现实，通研院研发了通用人工智能科研平台“通境” (TongVerse)。作为“AI+机器人”仿真练武靶场，TongVerse为具身智能提供安全、可控的仿真环境，让机器人在面对真实世界挑战前得以充分准备和训练。基于TongVerse，</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通通”可以在未来迁移至具身形态上，并演化为千万个通用智能体，走出实验室，走向千家万户，成为人们生活和工作中值得信赖的伙伴和帮手。TongVerse为推动具身智能技术的实际落地，以及未来的智能化产业生态奠定了坚实的基础。</w:t>
      </w:r>
    </w:p>
    <w:p>
      <w:pPr>
        <w:keepNext w:val="0"/>
        <w:keepLines w:val="0"/>
        <w:pageBreakBefore w:val="0"/>
        <w:widowControl w:val="0"/>
        <w:kinsoku/>
        <w:wordWrap/>
        <w:overflowPunct/>
        <w:topLinePunct w:val="0"/>
        <w:autoSpaceDE/>
        <w:autoSpaceDN/>
        <w:bidi w:val="0"/>
        <w:adjustRightInd/>
        <w:spacing w:line="360" w:lineRule="auto"/>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drawing>
          <wp:inline distT="0" distB="0" distL="114300" distR="114300">
            <wp:extent cx="5748655" cy="3832225"/>
            <wp:effectExtent l="0" t="0" r="17145" b="3175"/>
            <wp:docPr id="9" name="图片 9" descr="TongVe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TongVerse"/>
                    <pic:cNvPicPr>
                      <a:picLocks noChangeAspect="1"/>
                    </pic:cNvPicPr>
                  </pic:nvPicPr>
                  <pic:blipFill>
                    <a:blip r:embed="rId10"/>
                    <a:stretch>
                      <a:fillRect/>
                    </a:stretch>
                  </pic:blipFill>
                  <pic:spPr>
                    <a:xfrm>
                      <a:off x="0" y="0"/>
                      <a:ext cx="5748655" cy="38322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pacing w:line="360" w:lineRule="auto"/>
        <w:ind w:firstLine="560" w:firstLineChars="200"/>
        <w:jc w:val="center"/>
        <w:textAlignment w:val="auto"/>
        <w:rPr>
          <w:rFonts w:hint="default" w:ascii="仿宋_GB2312" w:hAnsi="仿宋_GB2312" w:eastAsia="仿宋_GB2312" w:cs="仿宋_GB2312"/>
          <w:color w:val="A6A6A6" w:themeColor="background1" w:themeShade="A6"/>
          <w:sz w:val="28"/>
          <w:szCs w:val="28"/>
          <w:lang w:val="en-US" w:eastAsia="zh-CN"/>
        </w:rPr>
      </w:pPr>
      <w:r>
        <w:rPr>
          <w:rFonts w:hint="eastAsia" w:ascii="仿宋_GB2312" w:hAnsi="仿宋_GB2312" w:eastAsia="仿宋_GB2312" w:cs="仿宋_GB2312"/>
          <w:color w:val="A6A6A6" w:themeColor="background1" w:themeShade="A6"/>
          <w:sz w:val="28"/>
          <w:szCs w:val="28"/>
          <w:lang w:val="en-US" w:eastAsia="zh-CN"/>
        </w:rPr>
        <w:t>图|通用人工智能科研平台“通境” (TongVerse)</w:t>
      </w:r>
    </w:p>
    <w:p>
      <w:pPr>
        <w:keepNext w:val="0"/>
        <w:keepLines w:val="0"/>
        <w:pageBreakBefore w:val="0"/>
        <w:widowControl w:val="0"/>
        <w:kinsoku/>
        <w:wordWrap/>
        <w:overflowPunct/>
        <w:topLinePunct w:val="0"/>
        <w:autoSpaceDE/>
        <w:autoSpaceDN/>
        <w:bidi w:val="0"/>
        <w:adjustRightInd/>
        <w:snapToGrid w:val="0"/>
        <w:spacing w:line="360" w:lineRule="auto"/>
        <w:ind w:firstLine="0" w:firstLineChars="0"/>
        <w:textAlignment w:val="auto"/>
        <w:rPr>
          <w:rFonts w:hint="eastAsia" w:ascii="仿宋_GB2312" w:hAnsi="仿宋_GB2312" w:eastAsia="仿宋_GB2312" w:cs="仿宋_GB2312"/>
          <w:sz w:val="28"/>
          <w:szCs w:val="28"/>
        </w:rPr>
      </w:pPr>
      <w:r>
        <w:rPr>
          <w:rFonts w:hint="eastAsia" w:ascii="黑体" w:hAnsi="黑体" w:eastAsia="黑体" w:cs="黑体"/>
          <w:b/>
          <w:sz w:val="28"/>
          <w:szCs w:val="28"/>
          <w:lang w:val="en-US" w:eastAsia="zh-CN"/>
        </w:rPr>
        <w:t>为机器立心，迈向通用人工智能</w:t>
      </w:r>
    </w:p>
    <w:p>
      <w:pPr>
        <w:keepNext w:val="0"/>
        <w:keepLines w:val="0"/>
        <w:pageBreakBefore w:val="0"/>
        <w:widowControl w:val="0"/>
        <w:kinsoku/>
        <w:wordWrap/>
        <w:overflowPunct/>
        <w:topLinePunct w:val="0"/>
        <w:autoSpaceDE/>
        <w:autoSpaceDN/>
        <w:bidi w:val="0"/>
        <w:adjustRightIn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北京通用人工智能研究院院长，</w:t>
      </w:r>
      <w:r>
        <w:rPr>
          <w:rFonts w:hint="eastAsia" w:ascii="仿宋_GB2312" w:hAnsi="仿宋_GB2312" w:eastAsia="仿宋_GB2312" w:cs="仿宋_GB2312"/>
          <w:b w:val="0"/>
          <w:i w:val="0"/>
          <w:strike w:val="0"/>
          <w:spacing w:val="0"/>
          <w:sz w:val="28"/>
          <w:szCs w:val="28"/>
          <w:u w:val="none"/>
        </w:rPr>
        <w:t>北京大学智能学院院长、人工智能研究院院长，清华大学讲席教授</w:t>
      </w:r>
      <w:r>
        <w:rPr>
          <w:rFonts w:hint="eastAsia" w:ascii="仿宋_GB2312" w:hAnsi="仿宋_GB2312" w:eastAsia="仿宋_GB2312" w:cs="仿宋_GB2312"/>
          <w:sz w:val="28"/>
          <w:szCs w:val="28"/>
        </w:rPr>
        <w:t>朱松纯，</w:t>
      </w:r>
      <w:r>
        <w:rPr>
          <w:rFonts w:hint="eastAsia" w:ascii="仿宋_GB2312" w:hAnsi="仿宋_GB2312" w:eastAsia="仿宋_GB2312" w:cs="仿宋_GB2312"/>
          <w:sz w:val="28"/>
          <w:szCs w:val="28"/>
          <w:lang w:val="en-US" w:eastAsia="zh-CN"/>
        </w:rPr>
        <w:t>在论坛上</w:t>
      </w:r>
      <w:r>
        <w:rPr>
          <w:rFonts w:hint="eastAsia" w:ascii="仿宋_GB2312" w:hAnsi="仿宋_GB2312" w:eastAsia="仿宋_GB2312" w:cs="仿宋_GB2312"/>
          <w:sz w:val="28"/>
          <w:szCs w:val="28"/>
        </w:rPr>
        <w:t>发表了题为《迈向通用人工智能》的演讲，阐明了什么是通用人工智能，以及实现通用人工智能的关键路径。</w:t>
      </w:r>
    </w:p>
    <w:p>
      <w:pPr>
        <w:keepNext w:val="0"/>
        <w:keepLines w:val="0"/>
        <w:pageBreakBefore w:val="0"/>
        <w:widowControl w:val="0"/>
        <w:kinsoku/>
        <w:wordWrap/>
        <w:overflowPunct/>
        <w:topLinePunct w:val="0"/>
        <w:autoSpaceDE/>
        <w:autoSpaceDN/>
        <w:bidi w:val="0"/>
        <w:adjustRightIn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朱松纯院长表示，通用人工智能研究的目标是</w:t>
      </w:r>
      <w:r>
        <w:rPr>
          <w:rFonts w:hint="eastAsia" w:ascii="仿宋_GB2312" w:hAnsi="仿宋_GB2312" w:eastAsia="仿宋_GB2312" w:cs="仿宋_GB2312"/>
          <w:b w:val="0"/>
          <w:i w:val="0"/>
          <w:strike w:val="0"/>
          <w:spacing w:val="0"/>
          <w:sz w:val="28"/>
          <w:szCs w:val="28"/>
          <w:u w:val="none"/>
        </w:rPr>
        <w:t>寻求一个统一的理论框架来解释各种智能现象</w:t>
      </w:r>
      <w:r>
        <w:rPr>
          <w:rFonts w:hint="eastAsia" w:ascii="仿宋_GB2312" w:hAnsi="仿宋_GB2312" w:eastAsia="仿宋_GB2312" w:cs="仿宋_GB2312"/>
          <w:b w:val="0"/>
          <w:i w:val="0"/>
          <w:strike w:val="0"/>
          <w:spacing w:val="0"/>
          <w:sz w:val="28"/>
          <w:szCs w:val="28"/>
          <w:u w:val="none"/>
          <w:lang w:eastAsia="zh-CN"/>
        </w:rPr>
        <w:t>，</w:t>
      </w:r>
      <w:r>
        <w:rPr>
          <w:rFonts w:hint="eastAsia" w:ascii="仿宋_GB2312" w:hAnsi="仿宋_GB2312" w:eastAsia="仿宋_GB2312" w:cs="仿宋_GB2312"/>
          <w:b w:val="0"/>
          <w:i w:val="0"/>
          <w:strike w:val="0"/>
          <w:spacing w:val="0"/>
          <w:sz w:val="28"/>
          <w:szCs w:val="28"/>
          <w:u w:val="none"/>
        </w:rPr>
        <w:t>并研发具备自主的感知、认知、决策、学习、执行和社会协作等能力，且符合人类情感、伦理与道德观念的通用智能体。通用智能体需具备完成无限任务、自主定义任务和由价值驱动三个基本特征。同时</w:t>
      </w:r>
      <w:r>
        <w:rPr>
          <w:rFonts w:hint="eastAsia" w:ascii="仿宋_GB2312" w:hAnsi="仿宋_GB2312" w:eastAsia="仿宋_GB2312" w:cs="仿宋_GB2312"/>
          <w:sz w:val="28"/>
          <w:szCs w:val="28"/>
        </w:rPr>
        <w:t>需解决认知架构、价值驱动、具身智能、社会智能、可解释性、人机互信等重要问题。</w:t>
      </w:r>
    </w:p>
    <w:p>
      <w:pPr>
        <w:keepNext w:val="0"/>
        <w:keepLines w:val="0"/>
        <w:pageBreakBefore w:val="0"/>
        <w:widowControl w:val="0"/>
        <w:kinsoku/>
        <w:wordWrap/>
        <w:overflowPunct/>
        <w:topLinePunct w:val="0"/>
        <w:autoSpaceDE/>
        <w:autoSpaceDN/>
        <w:bidi w:val="0"/>
        <w:adjustRightInd/>
        <w:spacing w:line="360" w:lineRule="auto"/>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drawing>
          <wp:inline distT="0" distB="0" distL="114300" distR="114300">
            <wp:extent cx="5751830" cy="3834765"/>
            <wp:effectExtent l="0" t="0" r="13970" b="635"/>
            <wp:docPr id="6" name="图片 6" descr="5H8A4486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H8A4486 (1)"/>
                    <pic:cNvPicPr>
                      <a:picLocks noChangeAspect="1"/>
                    </pic:cNvPicPr>
                  </pic:nvPicPr>
                  <pic:blipFill>
                    <a:blip r:embed="rId11"/>
                    <a:stretch>
                      <a:fillRect/>
                    </a:stretch>
                  </pic:blipFill>
                  <pic:spPr>
                    <a:xfrm>
                      <a:off x="0" y="0"/>
                      <a:ext cx="5751830" cy="383476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pacing w:line="360" w:lineRule="auto"/>
        <w:ind w:firstLine="560" w:firstLineChars="200"/>
        <w:jc w:val="center"/>
        <w:textAlignment w:val="auto"/>
        <w:rPr>
          <w:rFonts w:hint="default" w:ascii="仿宋_GB2312" w:hAnsi="仿宋_GB2312" w:eastAsia="仿宋_GB2312" w:cs="仿宋_GB2312"/>
          <w:color w:val="A6A6A6" w:themeColor="background1" w:themeShade="A6"/>
          <w:sz w:val="28"/>
          <w:szCs w:val="28"/>
          <w:lang w:val="en-US" w:eastAsia="zh-CN"/>
        </w:rPr>
      </w:pPr>
      <w:r>
        <w:rPr>
          <w:rFonts w:hint="eastAsia" w:ascii="仿宋_GB2312" w:hAnsi="仿宋_GB2312" w:eastAsia="仿宋_GB2312" w:cs="仿宋_GB2312"/>
          <w:color w:val="A6A6A6" w:themeColor="background1" w:themeShade="A6"/>
          <w:sz w:val="28"/>
          <w:szCs w:val="28"/>
          <w:lang w:val="en-US" w:eastAsia="zh-CN"/>
        </w:rPr>
        <w:t>图|北京通用人工智能研究院院长朱松纯</w:t>
      </w:r>
    </w:p>
    <w:p>
      <w:pPr>
        <w:keepNext w:val="0"/>
        <w:keepLines w:val="0"/>
        <w:pageBreakBefore w:val="0"/>
        <w:widowControl w:val="0"/>
        <w:pBdr>
          <w:bottom w:val="none" w:color="auto" w:sz="0" w:space="0"/>
        </w:pBdr>
        <w:kinsoku/>
        <w:wordWrap/>
        <w:overflowPunct/>
        <w:topLinePunct w:val="0"/>
        <w:autoSpaceDE/>
        <w:autoSpaceDN/>
        <w:bidi w:val="0"/>
        <w:adjustRightInd/>
        <w:spacing w:line="360" w:lineRule="auto"/>
        <w:ind w:firstLine="560" w:firstLineChars="200"/>
        <w:textAlignment w:val="auto"/>
        <w:rPr>
          <w:rFonts w:hint="eastAsia" w:ascii="仿宋_GB2312" w:hAnsi="仿宋_GB2312" w:eastAsia="仿宋_GB2312" w:cs="仿宋_GB2312"/>
          <w:b w:val="0"/>
          <w:i w:val="0"/>
          <w:strike w:val="0"/>
          <w:spacing w:val="0"/>
          <w:sz w:val="28"/>
          <w:szCs w:val="28"/>
          <w:u w:val="none"/>
        </w:rPr>
      </w:pPr>
      <w:r>
        <w:rPr>
          <w:rFonts w:hint="eastAsia" w:ascii="仿宋_GB2312" w:hAnsi="仿宋_GB2312" w:eastAsia="仿宋_GB2312" w:cs="仿宋_GB2312"/>
          <w:sz w:val="28"/>
          <w:szCs w:val="28"/>
        </w:rPr>
        <w:t>如何实现通用人工智能？朱松纯院长认为，迈向通用人工智能的关键在于“为机器立心”。</w:t>
      </w:r>
      <w:r>
        <w:rPr>
          <w:rFonts w:hint="eastAsia" w:ascii="仿宋_GB2312" w:hAnsi="仿宋_GB2312" w:eastAsia="仿宋_GB2312" w:cs="仿宋_GB2312"/>
          <w:b w:val="0"/>
          <w:i w:val="0"/>
          <w:strike w:val="0"/>
          <w:spacing w:val="0"/>
          <w:sz w:val="28"/>
          <w:szCs w:val="28"/>
          <w:u w:val="none"/>
        </w:rPr>
        <w:t>过去，人类一看就会的能力、毫不费力能做的事情，人们误以为这并不是智能，因为这些问题很简单，但事实上，恰恰是人类针对这些问题进化出的强大心智和价值体系才是最重要的——相比数据与理论，价值与“心”才是“活”的，是自主智能的源头活水。</w:t>
      </w:r>
    </w:p>
    <w:p>
      <w:pPr>
        <w:keepNext w:val="0"/>
        <w:keepLines w:val="0"/>
        <w:pageBreakBefore w:val="0"/>
        <w:widowControl w:val="0"/>
        <w:kinsoku/>
        <w:wordWrap/>
        <w:overflowPunct/>
        <w:topLinePunct w:val="0"/>
        <w:autoSpaceDE/>
        <w:autoSpaceDN/>
        <w:bidi w:val="0"/>
        <w:adjustRightInd/>
        <w:snapToGrid w:val="0"/>
        <w:spacing w:line="360" w:lineRule="auto"/>
        <w:ind w:firstLine="0" w:firstLineChars="0"/>
        <w:textAlignment w:val="auto"/>
        <w:rPr>
          <w:rFonts w:hint="eastAsia" w:ascii="仿宋_GB2312" w:hAnsi="仿宋_GB2312" w:eastAsia="仿宋_GB2312" w:cs="仿宋_GB2312"/>
          <w:color w:val="F88825"/>
          <w:sz w:val="28"/>
          <w:szCs w:val="28"/>
        </w:rPr>
      </w:pPr>
      <w:r>
        <w:rPr>
          <w:rFonts w:hint="eastAsia" w:ascii="黑体" w:hAnsi="黑体" w:eastAsia="黑体" w:cs="黑体"/>
          <w:b/>
          <w:sz w:val="28"/>
          <w:szCs w:val="28"/>
        </w:rPr>
        <w:t>构建产业创新生态，赋能千行百业服务中国经济发展</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为加速通用人工智能技术在各行各业的落地，推动产业的智能化升级，</w:t>
      </w:r>
      <w:r>
        <w:rPr>
          <w:rFonts w:hint="eastAsia" w:ascii="仿宋_GB2312" w:hAnsi="仿宋_GB2312" w:eastAsia="仿宋_GB2312" w:cs="仿宋_GB2312"/>
          <w:b w:val="0"/>
          <w:i w:val="0"/>
          <w:strike w:val="0"/>
          <w:color w:val="333333"/>
          <w:spacing w:val="0"/>
          <w:sz w:val="28"/>
          <w:szCs w:val="28"/>
          <w:u w:val="none"/>
        </w:rPr>
        <w:t>本次论坛正式启动</w:t>
      </w:r>
      <w:r>
        <w:rPr>
          <w:rFonts w:hint="eastAsia" w:ascii="仿宋_GB2312" w:hAnsi="仿宋_GB2312" w:eastAsia="仿宋_GB2312" w:cs="仿宋_GB2312"/>
          <w:b w:val="0"/>
          <w:i w:val="0"/>
          <w:strike w:val="0"/>
          <w:color w:val="333333"/>
          <w:spacing w:val="0"/>
          <w:sz w:val="28"/>
          <w:szCs w:val="28"/>
          <w:u w:val="none"/>
          <w:lang w:val="en-US" w:eastAsia="zh-CN"/>
        </w:rPr>
        <w:t>通用人工智能</w:t>
      </w:r>
      <w:r>
        <w:rPr>
          <w:rFonts w:hint="eastAsia" w:ascii="仿宋_GB2312" w:hAnsi="仿宋_GB2312" w:eastAsia="仿宋_GB2312" w:cs="仿宋_GB2312"/>
          <w:b w:val="0"/>
          <w:i w:val="0"/>
          <w:strike w:val="0"/>
          <w:color w:val="333333"/>
          <w:spacing w:val="0"/>
          <w:sz w:val="28"/>
          <w:szCs w:val="28"/>
          <w:u w:val="none"/>
        </w:rPr>
        <w:t>产业创新生态计划</w:t>
      </w:r>
      <w:r>
        <w:rPr>
          <w:rFonts w:hint="eastAsia" w:ascii="仿宋_GB2312" w:hAnsi="仿宋_GB2312" w:eastAsia="仿宋_GB2312" w:cs="仿宋_GB2312"/>
          <w:b w:val="0"/>
          <w:i w:val="0"/>
          <w:strike w:val="0"/>
          <w:color w:val="333333"/>
          <w:spacing w:val="0"/>
          <w:sz w:val="28"/>
          <w:szCs w:val="28"/>
          <w:u w:val="none"/>
          <w:lang w:eastAsia="zh-CN"/>
        </w:rPr>
        <w:t>，</w:t>
      </w:r>
      <w:r>
        <w:rPr>
          <w:rFonts w:hint="eastAsia" w:ascii="仿宋_GB2312" w:hAnsi="仿宋_GB2312" w:eastAsia="仿宋_GB2312" w:cs="仿宋_GB2312"/>
          <w:b w:val="0"/>
          <w:i w:val="0"/>
          <w:strike w:val="0"/>
          <w:color w:val="333333"/>
          <w:spacing w:val="0"/>
          <w:sz w:val="28"/>
          <w:szCs w:val="28"/>
          <w:u w:val="none"/>
        </w:rPr>
        <w:t>将基于通研院的系列科研成果和产业转化实践，以通用智能体技术为核心，构建产业链、创新链、资金链、人才链四链融合的</w:t>
      </w:r>
      <w:r>
        <w:rPr>
          <w:rFonts w:hint="eastAsia" w:ascii="仿宋_GB2312" w:hAnsi="仿宋_GB2312" w:eastAsia="仿宋_GB2312" w:cs="仿宋_GB2312"/>
          <w:b w:val="0"/>
          <w:i w:val="0"/>
          <w:strike w:val="0"/>
          <w:color w:val="333333"/>
          <w:spacing w:val="0"/>
          <w:sz w:val="28"/>
          <w:szCs w:val="28"/>
          <w:u w:val="none"/>
          <w:lang w:val="en-US" w:eastAsia="zh-CN"/>
        </w:rPr>
        <w:t>产业</w:t>
      </w:r>
      <w:r>
        <w:rPr>
          <w:rFonts w:hint="eastAsia" w:ascii="仿宋_GB2312" w:hAnsi="仿宋_GB2312" w:eastAsia="仿宋_GB2312" w:cs="仿宋_GB2312"/>
          <w:b w:val="0"/>
          <w:i w:val="0"/>
          <w:strike w:val="0"/>
          <w:color w:val="333333"/>
          <w:spacing w:val="0"/>
          <w:sz w:val="28"/>
          <w:szCs w:val="28"/>
          <w:u w:val="none"/>
        </w:rPr>
        <w:t>生态，推动AI+新质生产力发展。</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b w:val="0"/>
          <w:i w:val="0"/>
          <w:strike w:val="0"/>
          <w:color w:val="333333"/>
          <w:spacing w:val="0"/>
          <w:sz w:val="28"/>
          <w:szCs w:val="28"/>
          <w:u w:val="none"/>
        </w:rPr>
      </w:pPr>
      <w:r>
        <w:rPr>
          <w:rFonts w:hint="eastAsia" w:ascii="仿宋_GB2312" w:hAnsi="仿宋_GB2312" w:eastAsia="仿宋_GB2312" w:cs="仿宋_GB2312"/>
          <w:b w:val="0"/>
          <w:i w:val="0"/>
          <w:strike w:val="0"/>
          <w:color w:val="333333"/>
          <w:spacing w:val="0"/>
          <w:sz w:val="28"/>
          <w:szCs w:val="28"/>
          <w:u w:val="none"/>
        </w:rPr>
        <w:t>通研院常务副院长董乐介绍，</w:t>
      </w:r>
      <w:r>
        <w:rPr>
          <w:rFonts w:hint="eastAsia" w:ascii="仿宋_GB2312" w:hAnsi="仿宋_GB2312" w:eastAsia="仿宋_GB2312" w:cs="仿宋_GB2312"/>
          <w:b w:val="0"/>
          <w:i w:val="0"/>
          <w:strike w:val="0"/>
          <w:color w:val="333333"/>
          <w:spacing w:val="0"/>
          <w:sz w:val="28"/>
          <w:szCs w:val="28"/>
          <w:u w:val="none"/>
          <w:lang w:val="en-US" w:eastAsia="zh-CN"/>
        </w:rPr>
        <w:t>通用人工智能</w:t>
      </w:r>
      <w:r>
        <w:rPr>
          <w:rFonts w:hint="eastAsia" w:ascii="仿宋_GB2312" w:hAnsi="仿宋_GB2312" w:eastAsia="仿宋_GB2312" w:cs="仿宋_GB2312"/>
          <w:b w:val="0"/>
          <w:i w:val="0"/>
          <w:strike w:val="0"/>
          <w:color w:val="333333"/>
          <w:spacing w:val="0"/>
          <w:sz w:val="28"/>
          <w:szCs w:val="28"/>
          <w:u w:val="none"/>
        </w:rPr>
        <w:t>产业创新生态将聚焦应急、交通、教育、</w:t>
      </w:r>
      <w:r>
        <w:rPr>
          <w:rFonts w:hint="eastAsia" w:ascii="仿宋_GB2312" w:hAnsi="仿宋_GB2312" w:eastAsia="仿宋_GB2312" w:cs="仿宋_GB2312"/>
          <w:b w:val="0"/>
          <w:i w:val="0"/>
          <w:strike w:val="0"/>
          <w:color w:val="333333"/>
          <w:spacing w:val="0"/>
          <w:sz w:val="28"/>
          <w:szCs w:val="28"/>
          <w:u w:val="none"/>
          <w:lang w:val="en-US" w:eastAsia="zh-CN"/>
        </w:rPr>
        <w:t>能源、</w:t>
      </w:r>
      <w:r>
        <w:rPr>
          <w:rFonts w:hint="eastAsia" w:ascii="仿宋_GB2312" w:hAnsi="仿宋_GB2312" w:eastAsia="仿宋_GB2312" w:cs="仿宋_GB2312"/>
          <w:b w:val="0"/>
          <w:i w:val="0"/>
          <w:strike w:val="0"/>
          <w:color w:val="333333"/>
          <w:spacing w:val="0"/>
          <w:sz w:val="28"/>
          <w:szCs w:val="28"/>
          <w:u w:val="none"/>
        </w:rPr>
        <w:t>康养、制造、政务</w:t>
      </w:r>
      <w:r>
        <w:rPr>
          <w:rFonts w:hint="eastAsia" w:ascii="仿宋_GB2312" w:hAnsi="仿宋_GB2312" w:eastAsia="仿宋_GB2312" w:cs="仿宋_GB2312"/>
          <w:b w:val="0"/>
          <w:i w:val="0"/>
          <w:strike w:val="0"/>
          <w:color w:val="333333"/>
          <w:spacing w:val="0"/>
          <w:sz w:val="28"/>
          <w:szCs w:val="28"/>
          <w:u w:val="none"/>
          <w:lang w:val="en-US" w:eastAsia="zh-CN"/>
        </w:rPr>
        <w:t>七大</w:t>
      </w:r>
      <w:r>
        <w:rPr>
          <w:rFonts w:hint="eastAsia" w:ascii="仿宋_GB2312" w:hAnsi="仿宋_GB2312" w:eastAsia="仿宋_GB2312" w:cs="仿宋_GB2312"/>
          <w:b w:val="0"/>
          <w:i w:val="0"/>
          <w:strike w:val="0"/>
          <w:color w:val="333333"/>
          <w:spacing w:val="0"/>
          <w:sz w:val="28"/>
          <w:szCs w:val="28"/>
          <w:u w:val="none"/>
        </w:rPr>
        <w:t>业务领域，以通用智能</w:t>
      </w:r>
      <w:r>
        <w:rPr>
          <w:rFonts w:hint="eastAsia" w:ascii="仿宋_GB2312" w:hAnsi="仿宋_GB2312" w:eastAsia="仿宋_GB2312" w:cs="仿宋_GB2312"/>
          <w:b w:val="0"/>
          <w:i w:val="0"/>
          <w:strike w:val="0"/>
          <w:color w:val="333333"/>
          <w:spacing w:val="0"/>
          <w:sz w:val="28"/>
          <w:szCs w:val="28"/>
          <w:u w:val="none"/>
          <w:lang w:val="en-US" w:eastAsia="zh-CN"/>
        </w:rPr>
        <w:t>人</w:t>
      </w:r>
      <w:r>
        <w:rPr>
          <w:rFonts w:hint="eastAsia" w:ascii="仿宋_GB2312" w:hAnsi="仿宋_GB2312" w:eastAsia="仿宋_GB2312" w:cs="仿宋_GB2312"/>
          <w:b w:val="0"/>
          <w:i w:val="0"/>
          <w:strike w:val="0"/>
          <w:color w:val="333333"/>
          <w:spacing w:val="0"/>
          <w:sz w:val="28"/>
          <w:szCs w:val="28"/>
          <w:u w:val="none"/>
        </w:rPr>
        <w:t>“通通”为核心技术底座，联合生态企业共建垂直领域智能体，加速通用人工智能技术创新的产业转化。</w:t>
      </w:r>
      <w:r>
        <w:rPr>
          <w:rFonts w:hint="eastAsia" w:ascii="仿宋_GB2312" w:hAnsi="仿宋_GB2312" w:eastAsia="仿宋_GB2312" w:cs="仿宋_GB2312"/>
          <w:b w:val="0"/>
          <w:i w:val="0"/>
          <w:strike w:val="0"/>
          <w:color w:val="333333"/>
          <w:spacing w:val="0"/>
          <w:sz w:val="28"/>
          <w:szCs w:val="28"/>
          <w:u w:val="none"/>
          <w:lang w:val="en-US" w:eastAsia="zh-CN"/>
        </w:rPr>
        <w:t>基于此</w:t>
      </w:r>
      <w:r>
        <w:rPr>
          <w:rFonts w:hint="eastAsia" w:ascii="仿宋_GB2312" w:hAnsi="仿宋_GB2312" w:eastAsia="仿宋_GB2312" w:cs="仿宋_GB2312"/>
          <w:b w:val="0"/>
          <w:i w:val="0"/>
          <w:strike w:val="0"/>
          <w:color w:val="333333"/>
          <w:spacing w:val="0"/>
          <w:sz w:val="28"/>
          <w:szCs w:val="28"/>
          <w:u w:val="none"/>
        </w:rPr>
        <w:t>，通研院分别与神州信息、中国联通智慧足迹、南网数企、千方科技研究院、暗物智能等产业智能体创新伙伴，以及伟仕佳杰、智子引擎、北京数道智算、拓维信息、爱动超越等场景创新伙伴举行签约仪式，共同推动通用人工智能的产业应用</w:t>
      </w:r>
      <w:r>
        <w:rPr>
          <w:rFonts w:hint="eastAsia" w:ascii="仿宋_GB2312" w:hAnsi="仿宋_GB2312" w:eastAsia="仿宋_GB2312" w:cs="仿宋_GB2312"/>
          <w:b w:val="0"/>
          <w:i w:val="0"/>
          <w:strike w:val="0"/>
          <w:color w:val="333333"/>
          <w:spacing w:val="0"/>
          <w:sz w:val="28"/>
          <w:szCs w:val="28"/>
          <w:u w:val="none"/>
          <w:lang w:eastAsia="zh-CN"/>
        </w:rPr>
        <w:t>，助力新质生产力发展</w:t>
      </w:r>
      <w:r>
        <w:rPr>
          <w:rFonts w:hint="eastAsia" w:ascii="仿宋_GB2312" w:hAnsi="仿宋_GB2312" w:eastAsia="仿宋_GB2312" w:cs="仿宋_GB2312"/>
          <w:b w:val="0"/>
          <w:i w:val="0"/>
          <w:strike w:val="0"/>
          <w:color w:val="333333"/>
          <w:spacing w:val="0"/>
          <w:sz w:val="28"/>
          <w:szCs w:val="28"/>
          <w:u w:val="none"/>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val="0"/>
          <w:i w:val="0"/>
          <w:strike w:val="0"/>
          <w:color w:val="333333"/>
          <w:spacing w:val="0"/>
          <w:sz w:val="28"/>
          <w:szCs w:val="28"/>
          <w:u w:val="none"/>
          <w:lang w:eastAsia="zh-CN"/>
        </w:rPr>
      </w:pPr>
      <w:r>
        <w:rPr>
          <w:rFonts w:hint="eastAsia" w:ascii="仿宋_GB2312" w:hAnsi="仿宋_GB2312" w:eastAsia="仿宋_GB2312" w:cs="仿宋_GB2312"/>
          <w:b w:val="0"/>
          <w:i w:val="0"/>
          <w:strike w:val="0"/>
          <w:color w:val="333333"/>
          <w:spacing w:val="0"/>
          <w:sz w:val="28"/>
          <w:szCs w:val="28"/>
          <w:u w:val="none"/>
          <w:lang w:eastAsia="zh-CN"/>
        </w:rPr>
        <w:drawing>
          <wp:inline distT="0" distB="0" distL="114300" distR="114300">
            <wp:extent cx="5756910" cy="3838575"/>
            <wp:effectExtent l="0" t="0" r="8890" b="22225"/>
            <wp:docPr id="3" name="图片 3" descr="高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高峰"/>
                    <pic:cNvPicPr>
                      <a:picLocks noChangeAspect="1"/>
                    </pic:cNvPicPr>
                  </pic:nvPicPr>
                  <pic:blipFill>
                    <a:blip r:embed="rId12"/>
                    <a:stretch>
                      <a:fillRect/>
                    </a:stretch>
                  </pic:blipFill>
                  <pic:spPr>
                    <a:xfrm>
                      <a:off x="0" y="0"/>
                      <a:ext cx="5756910" cy="38385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pacing w:line="360" w:lineRule="auto"/>
        <w:ind w:firstLine="560" w:firstLineChars="200"/>
        <w:jc w:val="center"/>
        <w:textAlignment w:val="auto"/>
        <w:rPr>
          <w:rFonts w:hint="default" w:ascii="仿宋_GB2312" w:hAnsi="仿宋_GB2312" w:eastAsia="仿宋_GB2312" w:cs="仿宋_GB2312"/>
          <w:color w:val="A6A6A6" w:themeColor="background1" w:themeShade="A6"/>
          <w:sz w:val="28"/>
          <w:szCs w:val="28"/>
          <w:lang w:val="en-US" w:eastAsia="zh-CN"/>
        </w:rPr>
      </w:pPr>
      <w:r>
        <w:rPr>
          <w:rFonts w:hint="eastAsia" w:ascii="仿宋_GB2312" w:hAnsi="仿宋_GB2312" w:eastAsia="仿宋_GB2312" w:cs="仿宋_GB2312"/>
          <w:color w:val="A6A6A6" w:themeColor="background1" w:themeShade="A6"/>
          <w:sz w:val="28"/>
          <w:szCs w:val="28"/>
          <w:lang w:val="en-US" w:eastAsia="zh-CN"/>
        </w:rPr>
        <w:t>图|高峰圆桌对话：通用人工智能的产业创新实践</w:t>
      </w:r>
    </w:p>
    <w:p>
      <w:pPr>
        <w:keepNext w:val="0"/>
        <w:keepLines w:val="0"/>
        <w:pageBreakBefore w:val="0"/>
        <w:widowControl w:val="0"/>
        <w:kinsoku/>
        <w:wordWrap/>
        <w:overflowPunct/>
        <w:topLinePunct w:val="0"/>
        <w:autoSpaceDE/>
        <w:autoSpaceDN/>
        <w:bidi w:val="0"/>
        <w:adjustRightInd/>
        <w:spacing w:line="360" w:lineRule="auto"/>
        <w:ind w:firstLine="560" w:firstLineChars="200"/>
        <w:textAlignment w:val="auto"/>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聚焦通用人工智能的产业创新实践，</w:t>
      </w:r>
      <w:r>
        <w:rPr>
          <w:rFonts w:hint="eastAsia" w:ascii="仿宋_GB2312" w:hAnsi="仿宋_GB2312" w:eastAsia="仿宋_GB2312" w:cs="仿宋_GB2312"/>
          <w:b w:val="0"/>
          <w:i w:val="0"/>
          <w:strike w:val="0"/>
          <w:color w:val="333333"/>
          <w:spacing w:val="0"/>
          <w:sz w:val="28"/>
          <w:szCs w:val="28"/>
          <w:u w:val="none"/>
        </w:rPr>
        <w:t>董乐常务副院长</w:t>
      </w:r>
      <w:r>
        <w:rPr>
          <w:rFonts w:hint="eastAsia" w:ascii="仿宋_GB2312" w:hAnsi="仿宋_GB2312" w:eastAsia="仿宋_GB2312" w:cs="仿宋_GB2312"/>
          <w:b w:val="0"/>
          <w:i w:val="0"/>
          <w:strike w:val="0"/>
          <w:color w:val="333333"/>
          <w:spacing w:val="0"/>
          <w:sz w:val="28"/>
          <w:szCs w:val="28"/>
          <w:u w:val="none"/>
          <w:lang w:val="en-US" w:eastAsia="zh-CN"/>
        </w:rPr>
        <w:t>与</w:t>
      </w:r>
      <w:r>
        <w:rPr>
          <w:rFonts w:hint="eastAsia" w:ascii="仿宋_GB2312" w:hAnsi="仿宋_GB2312" w:eastAsia="仿宋_GB2312" w:cs="仿宋_GB2312"/>
          <w:color w:val="auto"/>
          <w:sz w:val="28"/>
          <w:szCs w:val="28"/>
          <w:lang w:val="en-US" w:eastAsia="zh-CN"/>
        </w:rPr>
        <w:t>来自产业界的各方代表展开高峰对话，围绕建立开放协同的产业生态系统，探讨跨领域合作及创新商业模式和应用场景的范式，为原创性科技成果提供孕育的平台，为创新型企业提供成长的土壤，为通用人工智能领域创业者和开发者提供发挥潜能的舞台。</w:t>
      </w:r>
    </w:p>
    <w:p>
      <w:pPr>
        <w:keepNext w:val="0"/>
        <w:keepLines w:val="0"/>
        <w:pageBreakBefore w:val="0"/>
        <w:widowControl w:val="0"/>
        <w:kinsoku/>
        <w:wordWrap/>
        <w:overflowPunct/>
        <w:topLinePunct w:val="0"/>
        <w:autoSpaceDE/>
        <w:autoSpaceDN/>
        <w:bidi w:val="0"/>
        <w:adjustRightInd/>
        <w:snapToGrid w:val="0"/>
        <w:spacing w:line="360" w:lineRule="auto"/>
        <w:ind w:firstLine="0" w:firstLineChars="0"/>
        <w:textAlignment w:val="auto"/>
        <w:rPr>
          <w:rFonts w:hint="eastAsia" w:ascii="黑体" w:hAnsi="黑体" w:eastAsia="黑体" w:cs="黑体"/>
          <w:b/>
          <w:sz w:val="28"/>
          <w:szCs w:val="28"/>
        </w:rPr>
      </w:pPr>
      <w:r>
        <w:rPr>
          <w:rFonts w:hint="eastAsia" w:ascii="黑体" w:hAnsi="黑体" w:eastAsia="黑体" w:cs="黑体"/>
          <w:b/>
          <w:sz w:val="28"/>
          <w:szCs w:val="28"/>
          <w:lang w:val="en-US" w:eastAsia="zh-CN"/>
        </w:rPr>
        <w:t>探索智能边界</w:t>
      </w:r>
      <w:r>
        <w:rPr>
          <w:rFonts w:hint="eastAsia" w:ascii="黑体" w:hAnsi="黑体" w:eastAsia="黑体" w:cs="黑体"/>
          <w:b/>
          <w:sz w:val="28"/>
          <w:szCs w:val="28"/>
        </w:rPr>
        <w:t>，国际专家共话人机共生</w:t>
      </w:r>
    </w:p>
    <w:p>
      <w:pPr>
        <w:keepNext w:val="0"/>
        <w:keepLines w:val="0"/>
        <w:pageBreakBefore w:val="0"/>
        <w:widowControl w:val="0"/>
        <w:pBdr>
          <w:bottom w:val="none" w:color="auto" w:sz="0" w:space="0"/>
        </w:pBdr>
        <w:kinsoku/>
        <w:wordWrap/>
        <w:overflowPunct/>
        <w:topLinePunct w:val="0"/>
        <w:autoSpaceDE/>
        <w:autoSpaceDN/>
        <w:bidi w:val="0"/>
        <w:adjustRightIn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围绕</w:t>
      </w:r>
      <w:r>
        <w:rPr>
          <w:rFonts w:hint="eastAsia" w:ascii="仿宋_GB2312" w:hAnsi="仿宋_GB2312" w:eastAsia="仿宋_GB2312" w:cs="仿宋_GB2312"/>
          <w:sz w:val="28"/>
          <w:szCs w:val="28"/>
        </w:rPr>
        <w:t>通用人工智能技术创新、安全治理与挑战等热点话题，来自加州大学伯克利分校人类兼容人工智能中心</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CHAI</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执行主任Mark Nitzberg就人机共生的未来发表看法。Mark Nitzberg表示，人工智能发展的终极目标是通用人工智能，但与此同时，公平和偏见的问题也是人工智能系统中的重要挑战</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应该从伦理学的角度，探讨人类与人工智能共生、协作的关系。</w:t>
      </w:r>
    </w:p>
    <w:p>
      <w:pPr>
        <w:keepNext w:val="0"/>
        <w:keepLines w:val="0"/>
        <w:pageBreakBefore w:val="0"/>
        <w:widowControl w:val="0"/>
        <w:pBdr>
          <w:bottom w:val="none" w:color="auto" w:sz="0" w:space="0"/>
        </w:pBdr>
        <w:kinsoku/>
        <w:wordWrap/>
        <w:overflowPunct/>
        <w:topLinePunct w:val="0"/>
        <w:autoSpaceDE/>
        <w:autoSpaceDN/>
        <w:bidi w:val="0"/>
        <w:adjustRightInd/>
        <w:spacing w:line="360" w:lineRule="auto"/>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drawing>
          <wp:inline distT="0" distB="0" distL="114300" distR="114300">
            <wp:extent cx="5750560" cy="3832860"/>
            <wp:effectExtent l="0" t="0" r="15240" b="2540"/>
            <wp:docPr id="4" name="图片 4" desc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Mark"/>
                    <pic:cNvPicPr>
                      <a:picLocks noChangeAspect="1"/>
                    </pic:cNvPicPr>
                  </pic:nvPicPr>
                  <pic:blipFill>
                    <a:blip r:embed="rId13"/>
                    <a:stretch>
                      <a:fillRect/>
                    </a:stretch>
                  </pic:blipFill>
                  <pic:spPr>
                    <a:xfrm>
                      <a:off x="0" y="0"/>
                      <a:ext cx="5750560" cy="383286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pacing w:line="360" w:lineRule="auto"/>
        <w:ind w:firstLine="560" w:firstLineChars="200"/>
        <w:jc w:val="center"/>
        <w:textAlignment w:val="auto"/>
        <w:rPr>
          <w:rFonts w:hint="default" w:ascii="仿宋_GB2312" w:hAnsi="仿宋_GB2312" w:eastAsia="仿宋_GB2312" w:cs="仿宋_GB2312"/>
          <w:color w:val="A6A6A6" w:themeColor="background1" w:themeShade="A6"/>
          <w:sz w:val="28"/>
          <w:szCs w:val="28"/>
          <w:lang w:val="en-US" w:eastAsia="zh-CN"/>
        </w:rPr>
      </w:pPr>
      <w:r>
        <w:rPr>
          <w:rFonts w:hint="eastAsia" w:ascii="仿宋_GB2312" w:hAnsi="仿宋_GB2312" w:eastAsia="仿宋_GB2312" w:cs="仿宋_GB2312"/>
          <w:color w:val="A6A6A6" w:themeColor="background1" w:themeShade="A6"/>
          <w:sz w:val="28"/>
          <w:szCs w:val="28"/>
          <w:lang w:val="en-US" w:eastAsia="zh-CN"/>
        </w:rPr>
        <w:t>图|加州大学伯克利分校人类兼容人工智能中心(CHAI)执行主任Mark Nitzberg</w:t>
      </w:r>
    </w:p>
    <w:p>
      <w:pPr>
        <w:keepNext w:val="0"/>
        <w:keepLines w:val="0"/>
        <w:pageBreakBefore w:val="0"/>
        <w:widowControl w:val="0"/>
        <w:pBdr>
          <w:bottom w:val="none" w:color="auto" w:sz="0" w:space="0"/>
        </w:pBdr>
        <w:kinsoku/>
        <w:wordWrap/>
        <w:overflowPunct/>
        <w:topLinePunct w:val="0"/>
        <w:autoSpaceDE/>
        <w:autoSpaceDN/>
        <w:bidi w:val="0"/>
        <w:adjustRightIn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剑桥大学生存风险研究中心（CSER）创始主任Seán Ó hÉigeartaigh带来题为“Frontier AI governance on the path to AGI”的报告，Seán Ó hÉigeartaigh认为，人工智能的治理，重要的是在安全和保障等方面达成国际性共识。</w:t>
      </w:r>
    </w:p>
    <w:p>
      <w:pPr>
        <w:keepNext w:val="0"/>
        <w:keepLines w:val="0"/>
        <w:pageBreakBefore w:val="0"/>
        <w:widowControl w:val="0"/>
        <w:pBdr>
          <w:bottom w:val="none" w:color="auto" w:sz="0" w:space="0"/>
        </w:pBdr>
        <w:kinsoku/>
        <w:wordWrap/>
        <w:overflowPunct/>
        <w:topLinePunct w:val="0"/>
        <w:autoSpaceDE/>
        <w:autoSpaceDN/>
        <w:bidi w:val="0"/>
        <w:adjustRightInd/>
        <w:spacing w:line="360" w:lineRule="auto"/>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drawing>
          <wp:inline distT="0" distB="0" distL="114300" distR="114300">
            <wp:extent cx="5742305" cy="3828415"/>
            <wp:effectExtent l="0" t="0" r="23495" b="6985"/>
            <wp:docPr id="5" name="图片 5" descr="S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Sean"/>
                    <pic:cNvPicPr>
                      <a:picLocks noChangeAspect="1"/>
                    </pic:cNvPicPr>
                  </pic:nvPicPr>
                  <pic:blipFill>
                    <a:blip r:embed="rId14"/>
                    <a:stretch>
                      <a:fillRect/>
                    </a:stretch>
                  </pic:blipFill>
                  <pic:spPr>
                    <a:xfrm>
                      <a:off x="0" y="0"/>
                      <a:ext cx="5742305" cy="38284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pacing w:line="360" w:lineRule="auto"/>
        <w:ind w:firstLine="560" w:firstLineChars="200"/>
        <w:jc w:val="center"/>
        <w:textAlignment w:val="auto"/>
        <w:rPr>
          <w:rFonts w:hint="default" w:ascii="仿宋_GB2312" w:hAnsi="仿宋_GB2312" w:eastAsia="仿宋_GB2312" w:cs="仿宋_GB2312"/>
          <w:color w:val="A6A6A6" w:themeColor="background1" w:themeShade="A6"/>
          <w:sz w:val="28"/>
          <w:szCs w:val="28"/>
          <w:lang w:val="en-US" w:eastAsia="zh-CN"/>
        </w:rPr>
      </w:pPr>
      <w:r>
        <w:rPr>
          <w:rFonts w:hint="eastAsia" w:ascii="仿宋_GB2312" w:hAnsi="仿宋_GB2312" w:eastAsia="仿宋_GB2312" w:cs="仿宋_GB2312"/>
          <w:color w:val="A6A6A6" w:themeColor="background1" w:themeShade="A6"/>
          <w:sz w:val="28"/>
          <w:szCs w:val="28"/>
          <w:lang w:val="en-US" w:eastAsia="zh-CN"/>
        </w:rPr>
        <w:t>图|剑桥大学生存风险研究中心（CSER）创始主任Seán Ó hÉigeartaigh</w:t>
      </w:r>
    </w:p>
    <w:p>
      <w:pPr>
        <w:keepNext w:val="0"/>
        <w:keepLines w:val="0"/>
        <w:pageBreakBefore w:val="0"/>
        <w:widowControl w:val="0"/>
        <w:pBdr>
          <w:bottom w:val="none" w:color="auto" w:sz="0" w:space="0"/>
        </w:pBdr>
        <w:kinsoku/>
        <w:wordWrap/>
        <w:overflowPunct/>
        <w:topLinePunct w:val="0"/>
        <w:autoSpaceDE/>
        <w:autoSpaceDN/>
        <w:bidi w:val="0"/>
        <w:adjustRightInd/>
        <w:spacing w:line="360" w:lineRule="auto"/>
        <w:ind w:firstLine="560" w:firstLineChars="20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构建一个安全、可靠、高效的人工智能安全治理体系，已成为全人类共同面临的重要课题。论坛现场，安远AI、北京大学、通研院共同发布《基础模型的负责任开源》报告，同时，通研院代表与Mark Nitzberg、Seán Ó hÉigeartaigh等人一道，围绕</w:t>
      </w:r>
      <w:r>
        <w:rPr>
          <w:rFonts w:hint="eastAsia" w:ascii="仿宋_GB2312" w:hAnsi="仿宋_GB2312" w:eastAsia="仿宋_GB2312" w:cs="仿宋_GB2312"/>
          <w:color w:val="auto"/>
          <w:sz w:val="28"/>
          <w:szCs w:val="28"/>
        </w:rPr>
        <w:t>人工智能科学治理</w:t>
      </w:r>
      <w:r>
        <w:rPr>
          <w:rFonts w:hint="eastAsia" w:ascii="仿宋_GB2312" w:hAnsi="仿宋_GB2312" w:eastAsia="仿宋_GB2312" w:cs="仿宋_GB2312"/>
          <w:color w:val="auto"/>
          <w:sz w:val="28"/>
          <w:szCs w:val="28"/>
          <w:lang w:val="en-US" w:eastAsia="zh-CN"/>
        </w:rPr>
        <w:t>展开对话，通过推动技术创新与伦理道德的平衡、建立有效的风险评估和应对机制，提升人工智能安全治理能力，确保人工智能健康有序安全发展。</w:t>
      </w:r>
    </w:p>
    <w:p>
      <w:pPr>
        <w:keepNext w:val="0"/>
        <w:keepLines w:val="0"/>
        <w:pageBreakBefore w:val="0"/>
        <w:widowControl w:val="0"/>
        <w:pBdr>
          <w:bottom w:val="none" w:color="auto" w:sz="0" w:space="0"/>
        </w:pBdr>
        <w:kinsoku/>
        <w:wordWrap/>
        <w:overflowPunct/>
        <w:topLinePunct w:val="0"/>
        <w:autoSpaceDE/>
        <w:autoSpaceDN/>
        <w:bidi w:val="0"/>
        <w:adjustRightInd/>
        <w:spacing w:line="360" w:lineRule="auto"/>
        <w:textAlignment w:val="auto"/>
        <w:rPr>
          <w:rFonts w:hint="eastAsia" w:ascii="仿宋_GB2312" w:hAnsi="仿宋_GB2312" w:eastAsia="黑体" w:cs="仿宋_GB2312"/>
          <w:color w:val="auto"/>
          <w:sz w:val="28"/>
          <w:szCs w:val="28"/>
          <w:lang w:val="en-US" w:eastAsia="zh-CN"/>
        </w:rPr>
      </w:pPr>
      <w:r>
        <w:rPr>
          <w:rFonts w:hint="eastAsia" w:ascii="黑体" w:hAnsi="黑体" w:eastAsia="黑体" w:cs="黑体"/>
          <w:b/>
          <w:i w:val="0"/>
          <w:strike w:val="0"/>
          <w:color w:val="060607"/>
          <w:spacing w:val="8"/>
          <w:sz w:val="28"/>
          <w:szCs w:val="28"/>
          <w:u w:val="none"/>
          <w:shd w:val="clear" w:color="auto" w:fill="FFFFFF"/>
          <w:lang w:val="en-US" w:eastAsia="zh-CN"/>
        </w:rPr>
        <w:t>贯通“学研产用”</w:t>
      </w:r>
      <w:r>
        <w:rPr>
          <w:rFonts w:hint="eastAsia" w:ascii="黑体" w:hAnsi="黑体" w:eastAsia="黑体" w:cs="黑体"/>
          <w:b/>
          <w:i w:val="0"/>
          <w:strike w:val="0"/>
          <w:color w:val="060607"/>
          <w:spacing w:val="8"/>
          <w:sz w:val="28"/>
          <w:szCs w:val="28"/>
          <w:u w:val="none"/>
          <w:shd w:val="clear" w:color="auto" w:fill="FFFFFF"/>
        </w:rPr>
        <w:t>，</w:t>
      </w:r>
      <w:r>
        <w:rPr>
          <w:rFonts w:hint="eastAsia" w:ascii="黑体" w:hAnsi="黑体" w:eastAsia="黑体" w:cs="黑体"/>
          <w:b/>
          <w:i w:val="0"/>
          <w:strike w:val="0"/>
          <w:color w:val="060607"/>
          <w:spacing w:val="8"/>
          <w:sz w:val="28"/>
          <w:szCs w:val="28"/>
          <w:u w:val="none"/>
          <w:shd w:val="clear" w:color="auto" w:fill="FFFFFF"/>
          <w:lang w:val="en-US" w:eastAsia="zh-CN"/>
        </w:rPr>
        <w:t>为智能时代贡献中国力量</w:t>
      </w:r>
    </w:p>
    <w:p>
      <w:pPr>
        <w:keepNext w:val="0"/>
        <w:keepLines w:val="0"/>
        <w:pageBreakBefore w:val="0"/>
        <w:widowControl w:val="0"/>
        <w:pBdr>
          <w:bottom w:val="none" w:color="auto" w:sz="0" w:space="0"/>
        </w:pBdr>
        <w:kinsoku/>
        <w:wordWrap/>
        <w:overflowPunct/>
        <w:topLinePunct w:val="0"/>
        <w:autoSpaceDE/>
        <w:autoSpaceDN/>
        <w:bidi w:val="0"/>
        <w:adjustRightIn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迈向通用人工智能，需要原始创新的技术突破</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也需要</w:t>
      </w:r>
      <w:r>
        <w:rPr>
          <w:rFonts w:hint="eastAsia" w:ascii="仿宋_GB2312" w:hAnsi="仿宋_GB2312" w:eastAsia="仿宋_GB2312" w:cs="仿宋_GB2312"/>
          <w:sz w:val="28"/>
          <w:szCs w:val="28"/>
        </w:rPr>
        <w:t>打通原始创新、集成创新、开放创新链条</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·为此，</w:t>
      </w:r>
      <w:r>
        <w:rPr>
          <w:rFonts w:hint="eastAsia" w:ascii="仿宋_GB2312" w:hAnsi="仿宋_GB2312" w:eastAsia="仿宋_GB2312" w:cs="仿宋_GB2312"/>
          <w:sz w:val="28"/>
          <w:szCs w:val="28"/>
        </w:rPr>
        <w:t>通研院联合北京大学、清华大学，支持建立北京大学通用人工智能实验班和清华大学通用人工智能因材施教计划</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由通研院牵头与北大、浙大、上海交大等</w:t>
      </w:r>
      <w:r>
        <w:rPr>
          <w:rFonts w:hint="eastAsia" w:ascii="仿宋_GB2312" w:hAnsi="仿宋_GB2312" w:eastAsia="仿宋_GB2312" w:cs="仿宋_GB2312"/>
          <w:sz w:val="28"/>
          <w:szCs w:val="28"/>
          <w:lang w:val="en-US" w:eastAsia="zh-CN"/>
        </w:rPr>
        <w:t>多所</w:t>
      </w:r>
      <w:r>
        <w:rPr>
          <w:rFonts w:hint="eastAsia" w:ascii="仿宋_GB2312" w:hAnsi="仿宋_GB2312" w:eastAsia="仿宋_GB2312" w:cs="仿宋_GB2312"/>
          <w:sz w:val="28"/>
          <w:szCs w:val="28"/>
        </w:rPr>
        <w:t>高校开展博士研究生联合培养工作</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通用人工智能协同攻关合作体人才培养计划</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集成</w:t>
      </w:r>
      <w:r>
        <w:rPr>
          <w:rFonts w:hint="eastAsia" w:ascii="仿宋_GB2312" w:hAnsi="仿宋_GB2312" w:eastAsia="仿宋_GB2312" w:cs="仿宋_GB2312"/>
          <w:sz w:val="28"/>
          <w:szCs w:val="28"/>
        </w:rPr>
        <w:t>通研院与高等院校</w:t>
      </w:r>
      <w:r>
        <w:rPr>
          <w:rFonts w:hint="eastAsia" w:ascii="仿宋_GB2312" w:hAnsi="仿宋_GB2312" w:eastAsia="仿宋_GB2312" w:cs="仿宋_GB2312"/>
          <w:sz w:val="28"/>
          <w:szCs w:val="28"/>
          <w:lang w:val="en-US" w:eastAsia="zh-CN"/>
        </w:rPr>
        <w:t>各自</w:t>
      </w:r>
      <w:r>
        <w:rPr>
          <w:rFonts w:hint="eastAsia" w:ascii="仿宋_GB2312" w:hAnsi="仿宋_GB2312" w:eastAsia="仿宋_GB2312" w:cs="仿宋_GB2312"/>
          <w:sz w:val="28"/>
          <w:szCs w:val="28"/>
        </w:rPr>
        <w:t>优势，促进院校科研合作交流及成果转化。</w:t>
      </w:r>
    </w:p>
    <w:p>
      <w:pPr>
        <w:keepNext w:val="0"/>
        <w:keepLines w:val="0"/>
        <w:pageBreakBefore w:val="0"/>
        <w:widowControl w:val="0"/>
        <w:pBdr>
          <w:bottom w:val="none" w:color="auto" w:sz="0" w:space="0"/>
        </w:pBdr>
        <w:kinsoku/>
        <w:wordWrap/>
        <w:overflowPunct/>
        <w:topLinePunct w:val="0"/>
        <w:autoSpaceDE/>
        <w:autoSpaceDN/>
        <w:bidi w:val="0"/>
        <w:adjustRightInd/>
        <w:spacing w:line="360" w:lineRule="auto"/>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t>聚焦“学研产用”协同，通研院将“自由式探索”和“有组织科研”有机结合</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以“小数据大任务”的新范式与中国产业发展形成闭环</w:t>
      </w:r>
      <w:r>
        <w:rPr>
          <w:rFonts w:hint="eastAsia" w:ascii="仿宋_GB2312" w:hAnsi="仿宋_GB2312" w:eastAsia="仿宋_GB2312" w:cs="仿宋_GB2312"/>
          <w:sz w:val="28"/>
          <w:szCs w:val="28"/>
        </w:rPr>
        <w:t>。未来通研院将与高校、行业龙头企业、产业上下游等同行人携手，</w:t>
      </w:r>
      <w:r>
        <w:rPr>
          <w:rFonts w:hint="eastAsia" w:ascii="仿宋_GB2312" w:hAnsi="仿宋_GB2312" w:eastAsia="仿宋_GB2312" w:cs="仿宋_GB2312"/>
          <w:sz w:val="28"/>
          <w:szCs w:val="28"/>
          <w:lang w:val="en-US" w:eastAsia="zh-CN"/>
        </w:rPr>
        <w:t>以原始创新的科技成果为</w:t>
      </w:r>
      <w:r>
        <w:rPr>
          <w:rFonts w:hint="eastAsia" w:ascii="仿宋_GB2312" w:hAnsi="仿宋_GB2312" w:eastAsia="仿宋_GB2312" w:cs="仿宋_GB2312"/>
          <w:sz w:val="28"/>
          <w:szCs w:val="28"/>
        </w:rPr>
        <w:t>中国产业发展</w:t>
      </w:r>
      <w:r>
        <w:rPr>
          <w:rFonts w:hint="eastAsia" w:ascii="仿宋_GB2312" w:hAnsi="仿宋_GB2312" w:eastAsia="仿宋_GB2312" w:cs="仿宋_GB2312"/>
          <w:sz w:val="28"/>
          <w:szCs w:val="28"/>
          <w:lang w:val="en-US" w:eastAsia="zh-CN"/>
        </w:rPr>
        <w:t>持续赋能，</w:t>
      </w:r>
      <w:r>
        <w:rPr>
          <w:rFonts w:hint="eastAsia" w:ascii="仿宋_GB2312" w:hAnsi="仿宋_GB2312" w:eastAsia="仿宋_GB2312" w:cs="仿宋_GB2312"/>
          <w:sz w:val="28"/>
          <w:szCs w:val="28"/>
        </w:rPr>
        <w:t>践行“以中国之思想、创世界之科技”</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走出一条符合中国国情的通用人工智能发展道路，为北京市建设国际科创中心与全球人工智能创新策源地提供助力</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为人类社会的发展贡献中国智慧和中国力量。</w:t>
      </w:r>
    </w:p>
    <w:p/>
    <w:sectPr>
      <w:pgSz w:w="11905" w:h="16838"/>
      <w:pgMar w:top="1361" w:right="1417" w:bottom="1361" w:left="1417"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86"/>
    <w:family w:val="auto"/>
    <w:pitch w:val="default"/>
    <w:sig w:usb0="E0000AFF" w:usb1="00007843" w:usb2="00000001" w:usb3="00000000" w:csb0="400001BF" w:csb1="DFF70000"/>
  </w:font>
  <w:font w:name="宋体">
    <w:altName w:val="汉仪书宋二KW"/>
    <w:panose1 w:val="02010600030101010101"/>
    <w:charset w:val="7A"/>
    <w:family w:val="auto"/>
    <w:pitch w:val="default"/>
    <w:sig w:usb0="00000000" w:usb1="0000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minorHAnsi">
    <w:altName w:val="苹方-简"/>
    <w:panose1 w:val="00000000000000000000"/>
    <w:charset w:val="00"/>
    <w:family w:val="auto"/>
    <w:pitch w:val="default"/>
    <w:sig w:usb0="00000000" w:usb1="00000000" w:usb2="00000000" w:usb3="00000000" w:csb0="00000000" w:csb1="00000000"/>
  </w:font>
  <w:font w:name="minorEastAsia">
    <w:altName w:val="苹方-简"/>
    <w:panose1 w:val="00000000000000000000"/>
    <w:charset w:val="86"/>
    <w:family w:val="auto"/>
    <w:pitch w:val="default"/>
    <w:sig w:usb0="00000000" w:usb1="00000000" w:usb2="00000000" w:usb3="00000000" w:csb0="00000000" w:csb1="00000000"/>
  </w:font>
  <w:font w:name="仿宋_GB2312">
    <w:altName w:val="方正仿宋_GBK"/>
    <w:panose1 w:val="02010609030101010101"/>
    <w:charset w:val="86"/>
    <w:family w:val="auto"/>
    <w:pitch w:val="default"/>
    <w:sig w:usb0="00000000" w:usb1="00000000" w:usb2="00000000" w:usb3="00000000" w:csb0="00040000" w:csb1="00000000"/>
  </w:font>
  <w:font w:name="苹方-简">
    <w:panose1 w:val="020B0400000000000000"/>
    <w:charset w:val="86"/>
    <w:family w:val="auto"/>
    <w:pitch w:val="default"/>
    <w:sig w:usb0="A00002FF" w:usb1="7ACFFDFB" w:usb2="00000017" w:usb3="00000000" w:csb0="00040001" w:csb1="00000000"/>
  </w:font>
  <w:font w:name="方正仿宋_GBK">
    <w:panose1 w:val="02000000000000000000"/>
    <w:charset w:val="86"/>
    <w:family w:val="auto"/>
    <w:pitch w:val="default"/>
    <w:sig w:usb0="A00002BF" w:usb1="38CF7CFA" w:usb2="00082016" w:usb3="00000000" w:csb0="00040001" w:csb1="00000000"/>
  </w:font>
  <w:font w:name="宋体-简">
    <w:panose1 w:val="02010800040101010101"/>
    <w:charset w:val="86"/>
    <w:family w:val="auto"/>
    <w:pitch w:val="default"/>
    <w:sig w:usb0="00000001" w:usb1="080F0000" w:usb2="0000000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12" w:lineRule="auto"/>
      </w:pPr>
      <w:r>
        <w:separator/>
      </w:r>
    </w:p>
  </w:footnote>
  <w:footnote w:type="continuationSeparator" w:id="1">
    <w:p>
      <w:pPr>
        <w:spacing w:before="0" w:after="0" w:line="312"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8"/>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DFF7B231"/>
    <w:rsid w:val="DFF7B2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spacing w:before="60" w:after="60" w:line="312" w:lineRule="auto"/>
      <w:jc w:val="left"/>
    </w:pPr>
    <w:rPr>
      <w:rFonts w:ascii="minorHAnsi" w:hAnsi="minorHAnsi" w:eastAsia="minorEastAsia" w:cstheme="minorBidi"/>
      <w:color w:val="333333"/>
      <w:kern w:val="2"/>
      <w:sz w:val="22"/>
      <w:szCs w:val="22"/>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Title"/>
    <w:basedOn w:val="1"/>
    <w:next w:val="1"/>
    <w:qFormat/>
    <w:uiPriority w:val="9"/>
    <w:pPr>
      <w:keepNext/>
      <w:keepLines/>
      <w:spacing w:before="0" w:after="0" w:line="408" w:lineRule="auto"/>
      <w:jc w:val="center"/>
      <w:outlineLvl w:val="0"/>
    </w:pPr>
    <w:rPr>
      <w:b/>
      <w:bCs/>
      <w:color w:val="1A1A1A"/>
      <w:sz w:val="48"/>
      <w:szCs w:val="4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8</TotalTime>
  <ScaleCrop>false</ScaleCrop>
  <LinksUpToDate>false</LinksUpToDate>
  <CharactersWithSpaces>0</CharactersWithSpaces>
  <Application>WPS Office_6.5.2.8766_F1E327BC-269C-435d-A152-05C5408002CA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2024-04-29T11:15:00Z</dcterms:created>
  <dc:creator>沈春蕾</dc:creator>
  <cp:lastModifiedBy>沈春蕾</cp:lastModifiedBy>
  <dcterms:modified xsi:type="dcterms:W3CDTF">2024-04-29T11:24:41Z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2052-6.5.2.8766</vt:lpwstr>
  </property>
  <property fmtid="{D5CDD505-2E9C-101B-9397-08002B2CF9AE}" pid="3" name="ICV">
    <vt:lpwstr>6338D673961B7635E7102F66F014144A_41</vt:lpwstr>
  </property>
</Properties>
</file>