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0"/>
          <w:szCs w:val="44"/>
        </w:rPr>
      </w:pPr>
      <w:r>
        <w:rPr>
          <w:rFonts w:hint="eastAsia"/>
          <w:b/>
          <w:bCs/>
          <w:sz w:val="40"/>
          <w:szCs w:val="44"/>
        </w:rPr>
        <w:t>按下“芯”智发展快进键</w:t>
      </w:r>
    </w:p>
    <w:p>
      <w:pPr>
        <w:jc w:val="center"/>
        <w:rPr>
          <w:b/>
          <w:bCs/>
          <w:sz w:val="32"/>
          <w:szCs w:val="36"/>
        </w:rPr>
      </w:pPr>
      <w:r>
        <w:rPr>
          <w:rFonts w:hint="eastAsia"/>
          <w:sz w:val="24"/>
          <w:szCs w:val="28"/>
        </w:rPr>
        <w:t xml:space="preserve">——2024中关村国际技术交易大会人工智能与高端芯片高精尖技术产品首发会举行 </w:t>
      </w:r>
      <w:r>
        <w:rPr>
          <w:rFonts w:hint="eastAsia"/>
          <w:b/>
          <w:bCs/>
          <w:sz w:val="32"/>
          <w:szCs w:val="36"/>
        </w:rPr>
        <w:t xml:space="preserve"> </w:t>
      </w:r>
    </w:p>
    <w:p/>
    <w:p>
      <w:pPr>
        <w:spacing w:line="360" w:lineRule="auto"/>
        <w:ind w:firstLine="420"/>
        <w:rPr>
          <w:sz w:val="22"/>
          <w:szCs w:val="24"/>
        </w:rPr>
      </w:pPr>
      <w:r>
        <w:rPr>
          <w:rFonts w:hint="eastAsia"/>
          <w:sz w:val="22"/>
          <w:szCs w:val="24"/>
        </w:rPr>
        <w:t>12个首发路演项目含“新”量满满、芯测平台和</w:t>
      </w:r>
      <w:bookmarkStart w:id="0" w:name="_GoBack"/>
      <w:bookmarkEnd w:id="0"/>
      <w:r>
        <w:rPr>
          <w:rFonts w:hint="eastAsia"/>
          <w:sz w:val="22"/>
          <w:szCs w:val="24"/>
        </w:rPr>
        <w:t>人工智能产业创新赋能计划正式亮相、人工智能应用场景重磅发布……4月26日，2024中关村国际技术交易大会高精尖技术产品首发会人工智能与高端芯片专场活动在中关村软件园召开，活动</w:t>
      </w:r>
      <w:r>
        <w:rPr>
          <w:sz w:val="22"/>
          <w:szCs w:val="24"/>
        </w:rPr>
        <w:t>重点</w:t>
      </w:r>
      <w:r>
        <w:rPr>
          <w:rFonts w:hint="eastAsia"/>
          <w:sz w:val="22"/>
          <w:szCs w:val="24"/>
        </w:rPr>
        <w:t>展示</w:t>
      </w:r>
      <w:r>
        <w:rPr>
          <w:sz w:val="22"/>
          <w:szCs w:val="24"/>
        </w:rPr>
        <w:t>了一批</w:t>
      </w:r>
      <w:r>
        <w:rPr>
          <w:rFonts w:hint="eastAsia"/>
          <w:sz w:val="22"/>
          <w:szCs w:val="24"/>
        </w:rPr>
        <w:t>北京人工智能与高端芯片</w:t>
      </w:r>
      <w:r>
        <w:rPr>
          <w:sz w:val="22"/>
          <w:szCs w:val="24"/>
        </w:rPr>
        <w:t>产业前沿引领性项目</w:t>
      </w:r>
      <w:r>
        <w:rPr>
          <w:rFonts w:hint="eastAsia"/>
          <w:sz w:val="22"/>
          <w:szCs w:val="24"/>
        </w:rPr>
        <w:t>，为加速技术革新及行业规模应用按下快进键。</w:t>
      </w:r>
    </w:p>
    <w:p>
      <w:pPr>
        <w:pStyle w:val="2"/>
      </w:pPr>
      <w:r>
        <w:rPr>
          <w:rFonts w:hint="eastAsia"/>
        </w:rPr>
        <w:drawing>
          <wp:inline distT="0" distB="0" distL="114300" distR="114300">
            <wp:extent cx="5257800" cy="3505200"/>
            <wp:effectExtent l="0" t="0" r="0" b="0"/>
            <wp:docPr id="1" name="图片 1" descr="人工智能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人工智能照片"/>
                    <pic:cNvPicPr>
                      <a:picLocks noChangeAspect="1"/>
                    </pic:cNvPicPr>
                  </pic:nvPicPr>
                  <pic:blipFill>
                    <a:blip r:embed="rId4"/>
                    <a:stretch>
                      <a:fillRect/>
                    </a:stretch>
                  </pic:blipFill>
                  <pic:spPr>
                    <a:xfrm>
                      <a:off x="0" y="0"/>
                      <a:ext cx="5257800" cy="3505200"/>
                    </a:xfrm>
                    <a:prstGeom prst="rect">
                      <a:avLst/>
                    </a:prstGeom>
                  </pic:spPr>
                </pic:pic>
              </a:graphicData>
            </a:graphic>
          </wp:inline>
        </w:drawing>
      </w:r>
    </w:p>
    <w:p>
      <w:pPr>
        <w:pStyle w:val="2"/>
      </w:pPr>
    </w:p>
    <w:p>
      <w:pPr>
        <w:spacing w:line="360" w:lineRule="auto"/>
        <w:ind w:firstLine="420"/>
        <w:jc w:val="center"/>
        <w:rPr>
          <w:b/>
          <w:bCs/>
          <w:sz w:val="28"/>
          <w:szCs w:val="32"/>
        </w:rPr>
      </w:pPr>
      <w:r>
        <w:rPr>
          <w:b/>
          <w:bCs/>
          <w:sz w:val="28"/>
          <w:szCs w:val="32"/>
        </w:rPr>
        <w:t>发力</w:t>
      </w:r>
      <w:r>
        <w:rPr>
          <w:rFonts w:hint="eastAsia"/>
          <w:b/>
          <w:bCs/>
          <w:sz w:val="28"/>
          <w:szCs w:val="32"/>
        </w:rPr>
        <w:t>芯智产业</w:t>
      </w:r>
      <w:r>
        <w:rPr>
          <w:b/>
          <w:bCs/>
          <w:sz w:val="28"/>
          <w:szCs w:val="32"/>
        </w:rPr>
        <w:t xml:space="preserve"> 助力数字经济高质量发展</w:t>
      </w:r>
    </w:p>
    <w:p>
      <w:pPr>
        <w:pStyle w:val="2"/>
      </w:pPr>
    </w:p>
    <w:p>
      <w:pPr>
        <w:spacing w:line="360" w:lineRule="auto"/>
        <w:ind w:firstLine="420"/>
        <w:rPr>
          <w:sz w:val="22"/>
          <w:szCs w:val="24"/>
        </w:rPr>
      </w:pPr>
      <w:r>
        <w:rPr>
          <w:rFonts w:hint="eastAsia"/>
          <w:sz w:val="22"/>
          <w:szCs w:val="24"/>
        </w:rPr>
        <w:t>作为支撑数字经济高质量发展的关键力量，人工智能和芯片产业应该如何发展？</w:t>
      </w:r>
      <w:r>
        <w:rPr>
          <w:rFonts w:hint="eastAsia"/>
        </w:rPr>
        <w:t>北京市经信局副局长顾瑾栩在致辞中提到，</w:t>
      </w:r>
      <w:r>
        <w:rPr>
          <w:rFonts w:hint="eastAsia"/>
          <w:sz w:val="22"/>
          <w:szCs w:val="24"/>
        </w:rPr>
        <w:t>北京将进一步构建算力供给体系、打造大模型行业应用新生态、提升大规模算力集群输出能力，厚植新质生产力，加快推进首都新型工业化建设和全球数字经济标杆城市建设。</w:t>
      </w:r>
    </w:p>
    <w:p>
      <w:pPr>
        <w:pStyle w:val="2"/>
      </w:pPr>
    </w:p>
    <w:p>
      <w:pPr>
        <w:spacing w:line="360" w:lineRule="auto"/>
        <w:ind w:firstLine="420"/>
      </w:pPr>
      <w:r>
        <w:rPr>
          <w:rFonts w:hint="eastAsia"/>
        </w:rPr>
        <w:t>中关村科学城管委会产业促进二处处长、北京市海淀区科信局局长何建吾表示，海淀区将持续深化中关村先行先试改革，为各类创新主体提供全方位、一站式服务能力，集中供给高水平要素资源，匹配强有力政策支撑，形成资本、空间等全面保障的开放创新生态，加速人工智能与高端芯片产业技术创新和应用开发，丰富行业落地场景。</w:t>
      </w:r>
    </w:p>
    <w:p>
      <w:pPr>
        <w:pStyle w:val="2"/>
      </w:pPr>
    </w:p>
    <w:p>
      <w:pPr>
        <w:spacing w:line="360" w:lineRule="auto"/>
        <w:ind w:firstLine="420"/>
      </w:pPr>
      <w:r>
        <w:rPr>
          <w:rFonts w:hint="eastAsia"/>
        </w:rPr>
        <w:t>中关村发展集团是北京推动中关村国家自主创新示范区发展和市场化资源配置的主体平台，已形成</w:t>
      </w:r>
      <w:r>
        <w:t>20大类、203项集成服务产品</w:t>
      </w:r>
      <w:r>
        <w:rPr>
          <w:rFonts w:hint="eastAsia"/>
        </w:rPr>
        <w:t>。中关村发展集团副总经理张金辉现场表示，技术的革新将创造出前所未有的智能形态，中发展集团将持续汇聚龙头企业、优秀高成长项目、新型研发机构等资源，赋能科技创新，助推区域经济高质量发展。</w:t>
      </w:r>
    </w:p>
    <w:p>
      <w:pPr>
        <w:spacing w:line="360" w:lineRule="auto"/>
        <w:ind w:firstLine="420"/>
        <w:jc w:val="center"/>
        <w:rPr>
          <w:b/>
          <w:bCs/>
          <w:sz w:val="28"/>
          <w:szCs w:val="32"/>
        </w:rPr>
      </w:pPr>
      <w:r>
        <w:rPr>
          <w:rFonts w:hint="eastAsia"/>
          <w:b/>
          <w:bCs/>
          <w:sz w:val="28"/>
          <w:szCs w:val="32"/>
        </w:rPr>
        <w:t>技术演进与平台服务成为创新双翼</w:t>
      </w:r>
    </w:p>
    <w:p>
      <w:pPr>
        <w:spacing w:line="360" w:lineRule="auto"/>
        <w:ind w:firstLine="420"/>
      </w:pPr>
      <w:r>
        <w:rPr>
          <w:rFonts w:hint="eastAsia"/>
        </w:rPr>
        <w:t>探索“芯”智技术前沿，精确导航技术演进趋势，打造高效能服务支撑平台，成为开辟创新征途的双翼。</w:t>
      </w:r>
    </w:p>
    <w:p>
      <w:pPr>
        <w:pStyle w:val="2"/>
      </w:pPr>
    </w:p>
    <w:p>
      <w:pPr>
        <w:spacing w:line="360" w:lineRule="auto"/>
        <w:ind w:firstLine="420"/>
      </w:pPr>
      <w:r>
        <w:rPr>
          <w:rFonts w:hint="eastAsia"/>
        </w:rPr>
        <w:t>活动期间，中国科学院自动化研究所研究员、副总工程师王金桥和无问芯穹智能科技有限公司联合创始人、CEO夏立雪分别进行</w:t>
      </w:r>
      <w:r>
        <w:t>多模态大模型</w:t>
      </w:r>
      <w:r>
        <w:rPr>
          <w:rFonts w:hint="eastAsia"/>
        </w:rPr>
        <w:t>和算力调优的主旨演讲。王金桥强调，在大模型的应用支持下，各领域都焕发出了全新的</w:t>
      </w:r>
      <w:r>
        <w:t>生机</w:t>
      </w:r>
      <w:r>
        <w:rPr>
          <w:rFonts w:hint="eastAsia"/>
        </w:rPr>
        <w:t>。未来，类脑智能、数据智能和博弈智能的相互融合，共同构成通往人工通用智能时代的关键桥梁。夏立雪分享了大模型时代，中间层生态的机会窗口，无问芯穹提供</w:t>
      </w:r>
      <w:r>
        <w:t>优质易用</w:t>
      </w:r>
      <w:r>
        <w:rPr>
          <w:rFonts w:hint="eastAsia"/>
        </w:rPr>
        <w:t>的算力支撑平台，支持行业跨越算力瓶颈，</w:t>
      </w:r>
      <w:r>
        <w:t>加速技术的落地</w:t>
      </w:r>
      <w:r>
        <w:rPr>
          <w:rFonts w:hint="eastAsia"/>
        </w:rPr>
        <w:t>应用。</w:t>
      </w:r>
    </w:p>
    <w:p>
      <w:pPr>
        <w:pStyle w:val="2"/>
      </w:pPr>
    </w:p>
    <w:p>
      <w:pPr>
        <w:spacing w:line="360" w:lineRule="auto"/>
        <w:ind w:firstLine="420"/>
      </w:pPr>
      <w:r>
        <w:rPr>
          <w:rFonts w:hint="eastAsia"/>
        </w:rPr>
        <w:t>建设高性能芯片测试平台，是优化提升北京市集成电路产业生态的重要举措。会上，高性能芯片测试平台正式发布。北京中发芯测</w:t>
      </w:r>
      <w:r>
        <w:rPr>
          <w:rFonts w:hint="eastAsia"/>
          <w:highlight w:val="none"/>
        </w:rPr>
        <w:t>科技有限</w:t>
      </w:r>
      <w:r>
        <w:rPr>
          <w:rFonts w:hint="eastAsia"/>
        </w:rPr>
        <w:t>公司总经理孙芹详细介绍该平台的建设情况。平台落地后，将支撑企业优化设计，加速提升研发效率，加强协同创新，为集成电路产业的高质量发展注入强大动能。</w:t>
      </w:r>
    </w:p>
    <w:p>
      <w:pPr>
        <w:pStyle w:val="2"/>
        <w:rPr>
          <w:rFonts w:ascii="DengXian" w:hAnsi="DengXian" w:eastAsia="DengXian"/>
          <w:b w:val="0"/>
          <w:bCs w:val="0"/>
        </w:rPr>
      </w:pPr>
    </w:p>
    <w:p>
      <w:pPr>
        <w:spacing w:line="360" w:lineRule="auto"/>
        <w:ind w:firstLine="420"/>
      </w:pPr>
      <w:r>
        <w:rPr>
          <w:rFonts w:hint="eastAsia"/>
          <w:highlight w:val="none"/>
        </w:rPr>
        <w:t>北京</w:t>
      </w:r>
      <w:r>
        <w:rPr>
          <w:rFonts w:hint="eastAsia"/>
        </w:rPr>
        <w:t>中关村软件园</w:t>
      </w:r>
      <w:r>
        <w:rPr>
          <w:rFonts w:hint="eastAsia"/>
          <w:highlight w:val="none"/>
        </w:rPr>
        <w:t>发展有限责任</w:t>
      </w:r>
      <w:r>
        <w:t>公司</w:t>
      </w:r>
      <w:r>
        <w:rPr>
          <w:rFonts w:hint="eastAsia"/>
        </w:rPr>
        <w:t>总经理姜爱娜在现场发布了“人工智能产业创新赋能计划”。该计划结合人工智能产业发展趋势，从人工智能企业的实际需求出发，集合园区在数智技术创新服务、产学研协同与成果转化、人才培养、创新孵育等方面的优质科创资源和服务能力，打造AI数智技术创新服务平台、AI创新孵育平台、AI产学研协同创新平台、AI人才服务平台，赋能人工智能产业发展，打造新质生产力，为首都高精尖产业增添新活力、新动力。</w:t>
      </w:r>
    </w:p>
    <w:p>
      <w:pPr>
        <w:pStyle w:val="2"/>
      </w:pPr>
    </w:p>
    <w:p>
      <w:pPr>
        <w:spacing w:line="360" w:lineRule="auto"/>
        <w:ind w:firstLine="420"/>
      </w:pPr>
      <w:r>
        <w:rPr>
          <w:rFonts w:hint="eastAsia"/>
        </w:rPr>
        <w:t>在应用场景发布环节，施耐德AI实验室技术负责人单炜、长城资本总经理唐杰、中铝环保集团副总经理廉志伟就芯智技术行业应用场景、智能科技重塑传统产业等内容进行精彩分享，共同勾勒了一个由人工智能赋能的</w:t>
      </w:r>
      <w:r>
        <w:t>未来画卷</w:t>
      </w:r>
      <w:r>
        <w:rPr>
          <w:rFonts w:hint="eastAsia"/>
        </w:rPr>
        <w:t>。</w:t>
      </w:r>
    </w:p>
    <w:p>
      <w:pPr>
        <w:pStyle w:val="2"/>
      </w:pPr>
    </w:p>
    <w:p>
      <w:pPr>
        <w:spacing w:line="360" w:lineRule="auto"/>
        <w:ind w:firstLine="420"/>
        <w:jc w:val="center"/>
        <w:rPr>
          <w:b/>
          <w:bCs/>
          <w:sz w:val="28"/>
          <w:szCs w:val="32"/>
        </w:rPr>
      </w:pPr>
      <w:r>
        <w:rPr>
          <w:rFonts w:hint="eastAsia"/>
          <w:b/>
          <w:bCs/>
          <w:sz w:val="28"/>
          <w:szCs w:val="32"/>
        </w:rPr>
        <w:t>首发首秀瞄准未来版图</w:t>
      </w:r>
    </w:p>
    <w:p>
      <w:pPr>
        <w:spacing w:line="360" w:lineRule="auto"/>
        <w:ind w:firstLine="420"/>
        <w:rPr>
          <w:sz w:val="22"/>
          <w:szCs w:val="24"/>
        </w:rPr>
      </w:pPr>
      <w:r>
        <w:rPr>
          <w:rFonts w:hint="eastAsia"/>
          <w:sz w:val="22"/>
          <w:szCs w:val="24"/>
        </w:rPr>
        <w:t>“芯”智产业的谋篇布局，离不开创新团队、优秀产品的奔涌向前。本次活动现场还进行了多款新技术新产品的“首发首秀”，</w:t>
      </w:r>
      <w:r>
        <w:rPr>
          <w:sz w:val="22"/>
          <w:szCs w:val="24"/>
        </w:rPr>
        <w:t>展示了</w:t>
      </w:r>
      <w:r>
        <w:rPr>
          <w:rFonts w:hint="eastAsia"/>
          <w:sz w:val="22"/>
          <w:szCs w:val="24"/>
        </w:rPr>
        <w:t>人工智能与高端芯片</w:t>
      </w:r>
      <w:r>
        <w:rPr>
          <w:sz w:val="22"/>
          <w:szCs w:val="24"/>
        </w:rPr>
        <w:t>技术在汽车、网络安全、媒体</w:t>
      </w:r>
      <w:r>
        <w:rPr>
          <w:rFonts w:hint="eastAsia"/>
          <w:sz w:val="22"/>
          <w:szCs w:val="24"/>
        </w:rPr>
        <w:t>、法律</w:t>
      </w:r>
      <w:r>
        <w:rPr>
          <w:sz w:val="22"/>
          <w:szCs w:val="24"/>
        </w:rPr>
        <w:t>等多领域的创新应用，</w:t>
      </w:r>
      <w:r>
        <w:rPr>
          <w:rFonts w:hint="eastAsia"/>
          <w:sz w:val="22"/>
          <w:szCs w:val="24"/>
        </w:rPr>
        <w:t>全面加速布局未来版图。</w:t>
      </w:r>
    </w:p>
    <w:p>
      <w:pPr>
        <w:spacing w:line="360" w:lineRule="auto"/>
        <w:ind w:firstLine="420"/>
        <w:rPr>
          <w:sz w:val="22"/>
          <w:szCs w:val="24"/>
        </w:rPr>
      </w:pPr>
      <w:r>
        <w:rPr>
          <w:rFonts w:hint="eastAsia"/>
          <w:sz w:val="22"/>
          <w:szCs w:val="24"/>
        </w:rPr>
        <w:t>聚焦大模型底座，百川智能以其超大规模的参数量、卓越的语境理解与生成能力，以及对中文语言的把握，成为驱动众多应用场景创新与落地的强大引擎。</w:t>
      </w:r>
    </w:p>
    <w:p>
      <w:pPr>
        <w:spacing w:line="360" w:lineRule="auto"/>
        <w:ind w:firstLine="420"/>
        <w:rPr>
          <w:sz w:val="22"/>
          <w:szCs w:val="24"/>
        </w:rPr>
      </w:pPr>
      <w:r>
        <w:rPr>
          <w:rFonts w:hint="eastAsia"/>
          <w:sz w:val="22"/>
          <w:szCs w:val="24"/>
        </w:rPr>
        <w:t>面向先进计算基础设施，摩尔线程“夸娥”智算集群以全功能GPU为底座，融合软硬一体化的全栈解决方案，打造高兼容性、高稳定性、高扩展性等综合优势，服务数字经济无限应用场景。</w:t>
      </w:r>
    </w:p>
    <w:p>
      <w:pPr>
        <w:spacing w:line="360" w:lineRule="auto"/>
        <w:ind w:firstLine="420"/>
        <w:rPr>
          <w:sz w:val="22"/>
          <w:szCs w:val="24"/>
        </w:rPr>
      </w:pPr>
      <w:r>
        <w:rPr>
          <w:rFonts w:hint="eastAsia"/>
          <w:sz w:val="22"/>
          <w:szCs w:val="24"/>
        </w:rPr>
        <w:t>依托全性能北斗芯，凯芯科技专注于平台研发，提供面向智能驾驶、智能无人设备等领域的产品和服务。</w:t>
      </w:r>
    </w:p>
    <w:p>
      <w:pPr>
        <w:spacing w:line="360" w:lineRule="auto"/>
        <w:ind w:firstLine="420"/>
        <w:rPr>
          <w:sz w:val="22"/>
          <w:szCs w:val="24"/>
        </w:rPr>
      </w:pPr>
      <w:r>
        <w:rPr>
          <w:rFonts w:hint="eastAsia"/>
          <w:sz w:val="22"/>
          <w:szCs w:val="24"/>
        </w:rPr>
        <w:t>打造拓天金融大模型，拓尔思赋能金融场景行业基础，帮助银行保险机构事前审查、事中管控、事后监督，助力消费者权益保护工作实现高质量科技转型。</w:t>
      </w:r>
    </w:p>
    <w:p>
      <w:pPr>
        <w:spacing w:line="360" w:lineRule="auto"/>
        <w:ind w:firstLine="420"/>
        <w:rPr>
          <w:sz w:val="22"/>
          <w:szCs w:val="24"/>
        </w:rPr>
      </w:pPr>
      <w:r>
        <w:rPr>
          <w:rFonts w:hint="eastAsia"/>
          <w:sz w:val="22"/>
          <w:szCs w:val="24"/>
        </w:rPr>
        <w:t>紧抓安全新赛道，天融信推出天问大模型，显著提升安全防护的精准度与效率，帮助行业应对日益复杂多变的网络安全挑战……</w:t>
      </w:r>
      <w:r>
        <w:rPr>
          <w:sz w:val="22"/>
          <w:szCs w:val="24"/>
        </w:rPr>
        <w:t>此外，活动现场还促成了多个合作意向</w:t>
      </w:r>
      <w:r>
        <w:rPr>
          <w:rFonts w:hint="eastAsia"/>
          <w:sz w:val="22"/>
          <w:szCs w:val="24"/>
        </w:rPr>
        <w:t>达成</w:t>
      </w:r>
      <w:r>
        <w:rPr>
          <w:sz w:val="22"/>
          <w:szCs w:val="24"/>
        </w:rPr>
        <w:t>，为技术成果转化与产业协同发展</w:t>
      </w:r>
      <w:r>
        <w:rPr>
          <w:rFonts w:hint="eastAsia"/>
          <w:sz w:val="22"/>
          <w:szCs w:val="24"/>
        </w:rPr>
        <w:t>提供</w:t>
      </w:r>
      <w:r>
        <w:rPr>
          <w:sz w:val="22"/>
          <w:szCs w:val="24"/>
        </w:rPr>
        <w:t>了高效对接</w:t>
      </w:r>
      <w:r>
        <w:rPr>
          <w:rFonts w:hint="eastAsia"/>
          <w:sz w:val="22"/>
          <w:szCs w:val="24"/>
        </w:rPr>
        <w:t>机会</w:t>
      </w:r>
      <w:r>
        <w:rPr>
          <w:sz w:val="22"/>
          <w:szCs w:val="24"/>
        </w:rPr>
        <w:t>。</w:t>
      </w:r>
    </w:p>
    <w:p>
      <w:pPr>
        <w:pStyle w:val="2"/>
      </w:pPr>
    </w:p>
    <w:p>
      <w:pPr>
        <w:spacing w:line="360" w:lineRule="auto"/>
        <w:ind w:firstLine="420"/>
        <w:rPr>
          <w:sz w:val="22"/>
          <w:szCs w:val="24"/>
        </w:rPr>
      </w:pPr>
      <w:r>
        <w:rPr>
          <w:rFonts w:hint="eastAsia"/>
          <w:sz w:val="22"/>
          <w:szCs w:val="24"/>
        </w:rPr>
        <w:t>人工智能与高端芯片专场活动是今年中关村国际技术交易大会的8大专场首发会之一，由</w:t>
      </w:r>
      <w:r>
        <w:rPr>
          <w:sz w:val="22"/>
          <w:szCs w:val="24"/>
        </w:rPr>
        <w:t>北京市</w:t>
      </w:r>
      <w:r>
        <w:rPr>
          <w:rFonts w:hint="eastAsia"/>
          <w:sz w:val="22"/>
          <w:szCs w:val="24"/>
        </w:rPr>
        <w:t>科委</w:t>
      </w:r>
      <w:r>
        <w:rPr>
          <w:sz w:val="22"/>
          <w:szCs w:val="24"/>
        </w:rPr>
        <w:t>、中关村管委会</w:t>
      </w:r>
      <w:r>
        <w:rPr>
          <w:rFonts w:hint="eastAsia"/>
          <w:sz w:val="22"/>
          <w:szCs w:val="24"/>
        </w:rPr>
        <w:t>，</w:t>
      </w:r>
      <w:r>
        <w:rPr>
          <w:sz w:val="22"/>
          <w:szCs w:val="24"/>
        </w:rPr>
        <w:t>北京市经信局</w:t>
      </w:r>
      <w:r>
        <w:rPr>
          <w:rFonts w:hint="eastAsia"/>
          <w:sz w:val="22"/>
          <w:szCs w:val="24"/>
        </w:rPr>
        <w:t>，</w:t>
      </w:r>
      <w:r>
        <w:rPr>
          <w:sz w:val="22"/>
          <w:szCs w:val="24"/>
        </w:rPr>
        <w:t>北京市海淀区人民政府</w:t>
      </w:r>
      <w:r>
        <w:rPr>
          <w:rFonts w:hint="eastAsia"/>
          <w:sz w:val="22"/>
          <w:szCs w:val="24"/>
        </w:rPr>
        <w:t>，</w:t>
      </w:r>
      <w:r>
        <w:rPr>
          <w:sz w:val="22"/>
          <w:szCs w:val="24"/>
        </w:rPr>
        <w:t>中关村发展集团</w:t>
      </w:r>
      <w:r>
        <w:rPr>
          <w:rFonts w:hint="eastAsia"/>
          <w:sz w:val="22"/>
          <w:szCs w:val="24"/>
        </w:rPr>
        <w:t>联合主办，</w:t>
      </w:r>
      <w:r>
        <w:rPr>
          <w:sz w:val="22"/>
          <w:szCs w:val="24"/>
        </w:rPr>
        <w:t>北京中关村科技服务有限公司、北京中关村软件园发展有限责任公司、北京中发芯测科技有限公司、北京中关村科学城创新发展有限公司</w:t>
      </w:r>
      <w:r>
        <w:rPr>
          <w:rFonts w:hint="eastAsia"/>
          <w:sz w:val="22"/>
          <w:szCs w:val="24"/>
        </w:rPr>
        <w:t>承办。2024年，北京将进一步加快推进首都新型工业化建设和全球数字经济标杆城市建设，吸纳海内外优秀创新团队。按下“芯”智发展快进键的北京，无疑将在国际技术交流中扮演着越来越重要的角色。</w:t>
      </w:r>
    </w:p>
    <w:p>
      <w:pPr>
        <w:spacing w:line="360" w:lineRule="auto"/>
        <w:ind w:firstLine="420"/>
        <w:rPr>
          <w:sz w:val="22"/>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9AF84BA-EA25-4126-05C9-2B66819C6587}"/>
  </w:font>
  <w:font w:name="宋体">
    <w:panose1 w:val="02010600030101010101"/>
    <w:charset w:val="86"/>
    <w:family w:val="auto"/>
    <w:pitch w:val="default"/>
    <w:sig w:usb0="00000003" w:usb1="288F0000" w:usb2="00000006" w:usb3="00000000" w:csb0="00040001" w:csb1="00000000"/>
    <w:embedRegular r:id="rId2" w:fontKey="{9145D4F6-E306-3763-05C9-2B665F85C027}"/>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DengXian">
    <w:panose1 w:val="00000000000000000000"/>
    <w:charset w:val="86"/>
    <w:family w:val="auto"/>
    <w:pitch w:val="default"/>
    <w:sig w:usb0="E00002FF" w:usb1="5000785B" w:usb2="00000000" w:usb3="00000000" w:csb0="2000019F" w:csb1="4F010000"/>
  </w:font>
  <w:font w:name="Arial">
    <w:panose1 w:val="020B0604020202090204"/>
    <w:charset w:val="00"/>
    <w:family w:val="swiss"/>
    <w:pitch w:val="default"/>
    <w:sig w:usb0="E0000AFF" w:usb1="00007843" w:usb2="00000001" w:usb3="00000000" w:csb0="400001BF" w:csb1="DFF70000"/>
  </w:font>
  <w:font w:name="方正小标宋_GBK">
    <w:altName w:val="方正小标宋简体"/>
    <w:panose1 w:val="020B0604020202020204"/>
    <w:charset w:val="86"/>
    <w:family w:val="script"/>
    <w:pitch w:val="default"/>
    <w:sig w:usb0="00000000" w:usb1="00000000" w:usb2="00000010" w:usb3="00000000" w:csb0="00040001" w:csb1="00000000"/>
  </w:font>
  <w:font w:name="仿宋_GB2312">
    <w:panose1 w:val="02010609030101010101"/>
    <w:charset w:val="86"/>
    <w:family w:val="modern"/>
    <w:pitch w:val="default"/>
    <w:sig w:usb0="00000001" w:usb1="080E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Kingsoft Sign">
    <w:panose1 w:val="05050102010706020507"/>
    <w:charset w:val="00"/>
    <w:family w:val="auto"/>
    <w:pitch w:val="default"/>
    <w:sig w:usb0="00000000" w:usb1="10000000" w:usb2="00000000" w:usb3="00000000" w:csb0="0000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9248AF"/>
    <w:rsid w:val="007432F2"/>
    <w:rsid w:val="00771C11"/>
    <w:rsid w:val="008A6C82"/>
    <w:rsid w:val="009248AF"/>
    <w:rsid w:val="00D106D4"/>
    <w:rsid w:val="00F50841"/>
    <w:rsid w:val="0F1930E4"/>
    <w:rsid w:val="1FCF704E"/>
    <w:rsid w:val="59A84A0A"/>
    <w:rsid w:val="BF418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DengXian" w:hAnsi="DengXian" w:eastAsia="DengXian" w:cs="宋体"/>
      <w:kern w:val="2"/>
      <w:sz w:val="21"/>
      <w:szCs w:val="22"/>
      <w:lang w:val="en-US" w:eastAsia="zh-CN" w:bidi="ar-SA"/>
      <w14:ligatures w14:val="standardContextual"/>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qFormat/>
    <w:uiPriority w:val="0"/>
    <w:rPr>
      <w:rFonts w:ascii="Arial" w:hAnsi="Arial" w:eastAsia="方正小标宋_GBK"/>
      <w:b/>
      <w:bCs/>
    </w:rPr>
  </w:style>
  <w:style w:type="paragraph" w:styleId="3">
    <w:name w:val="index 1"/>
    <w:basedOn w:val="1"/>
    <w:next w:val="1"/>
    <w:qFormat/>
    <w:uiPriority w:val="0"/>
    <w:rPr>
      <w:rFonts w:ascii="Times New Roman" w:hAnsi="Times New Roman" w:eastAsia="方正小标宋_GBK"/>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line="560" w:lineRule="exact"/>
      <w:ind w:firstLine="880"/>
      <w:jc w:val="left"/>
    </w:pPr>
    <w:rPr>
      <w:rFonts w:ascii="Calibri" w:hAnsi="Calibri" w:eastAsia="仿宋_GB2312" w:cs="Times New Roman"/>
      <w:kern w:val="0"/>
      <w:sz w:val="24"/>
    </w:rPr>
  </w:style>
  <w:style w:type="character" w:styleId="9">
    <w:name w:val="Strong"/>
    <w:basedOn w:val="8"/>
    <w:qFormat/>
    <w:uiPriority w:val="22"/>
    <w:rPr>
      <w:b/>
    </w:rPr>
  </w:style>
  <w:style w:type="paragraph" w:styleId="10">
    <w:name w:val="List Paragraph"/>
    <w:basedOn w:val="1"/>
    <w:qFormat/>
    <w:uiPriority w:val="34"/>
    <w:pPr>
      <w:ind w:firstLine="420" w:firstLineChars="200"/>
    </w:p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paragraph" w:customStyle="1" w:styleId="13">
    <w:name w:val="Revision"/>
    <w:hidden/>
    <w:unhideWhenUsed/>
    <w:uiPriority w:val="99"/>
    <w:rPr>
      <w:rFonts w:ascii="DengXian" w:hAnsi="DengXian" w:eastAsia="DengXian" w:cs="宋体"/>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332</Words>
  <Characters>1893</Characters>
  <Lines>15</Lines>
  <Paragraphs>4</Paragraphs>
  <TotalTime>50</TotalTime>
  <ScaleCrop>false</ScaleCrop>
  <LinksUpToDate>false</LinksUpToDate>
  <CharactersWithSpaces>2221</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2024-04-26T11:57:00Z</dcterms:created>
  <dc:creator>清文 邓</dc:creator>
  <cp:lastModifiedBy>xll</cp:lastModifiedBy>
  <dcterms:modified xsi:type="dcterms:W3CDTF">2024-04-26T23:32:21Z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1760D28F3559C84BF3C82B66E4C55CAE_43</vt:lpwstr>
  </property>
</Properties>
</file>