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kinsoku/>
        <w:wordWrap/>
        <w:overflowPunct/>
        <w:topLinePunct w:val="0"/>
        <w:autoSpaceDE/>
        <w:autoSpaceDN/>
        <w:bidi w:val="0"/>
        <w:adjustRightInd/>
        <w:snapToGrid/>
        <w:spacing w:line="560" w:lineRule="exact"/>
        <w:jc w:val="center"/>
        <w:rPr>
          <w:rFonts w:hint="eastAsia" w:ascii="方正小标宋简体" w:hAnsi="方正小标宋简体" w:eastAsia="方正小标宋简体" w:cs="方正小标宋简体"/>
          <w:b w:val="0"/>
          <w:bCs/>
          <w:color w:val="000000" w:themeColor="text1"/>
          <w:sz w:val="44"/>
          <w:szCs w:val="44"/>
          <w14:textFill>
            <w14:solidFill>
              <w14:schemeClr w14:val="tx1"/>
            </w14:solidFill>
          </w14:textFill>
        </w:rPr>
      </w:pPr>
      <w:r>
        <w:rPr>
          <w:rFonts w:hint="eastAsia" w:ascii="方正小标宋简体" w:hAnsi="方正小标宋简体" w:eastAsia="方正小标宋简体" w:cs="方正小标宋简体"/>
          <w:b w:val="0"/>
          <w:bCs/>
          <w:color w:val="000000" w:themeColor="text1"/>
          <w:sz w:val="44"/>
          <w:szCs w:val="44"/>
          <w14:textFill>
            <w14:solidFill>
              <w14:schemeClr w14:val="tx1"/>
            </w14:solidFill>
          </w14:textFill>
        </w:rPr>
        <w:t>2024中关村论坛年会</w:t>
      </w:r>
      <w:r>
        <w:rPr>
          <w:rFonts w:hint="eastAsia" w:ascii="方正小标宋简体" w:hAnsi="方正小标宋简体" w:eastAsia="方正小标宋简体" w:cs="方正小标宋简体"/>
          <w:b w:val="0"/>
          <w:bCs/>
          <w:color w:val="000000" w:themeColor="text1"/>
          <w:sz w:val="44"/>
          <w:szCs w:val="44"/>
          <w:lang w:val="en-US" w:eastAsia="zh-CN"/>
          <w14:textFill>
            <w14:solidFill>
              <w14:schemeClr w14:val="tx1"/>
            </w14:solidFill>
          </w14:textFill>
        </w:rPr>
        <w:t>开幕式</w:t>
      </w:r>
      <w:r>
        <w:rPr>
          <w:rFonts w:hint="eastAsia" w:ascii="方正小标宋简体" w:hAnsi="方正小标宋简体" w:eastAsia="方正小标宋简体" w:cs="方正小标宋简体"/>
          <w:b w:val="0"/>
          <w:bCs/>
          <w:color w:val="000000" w:themeColor="text1"/>
          <w:sz w:val="44"/>
          <w:szCs w:val="44"/>
          <w14:textFill>
            <w14:solidFill>
              <w14:schemeClr w14:val="tx1"/>
            </w14:solidFill>
          </w14:textFill>
        </w:rPr>
        <w:t>重大成果发布</w:t>
      </w:r>
    </w:p>
    <w:p>
      <w:pPr>
        <w:keepNext w:val="0"/>
        <w:keepLines w:val="0"/>
        <w:pageBreakBefore w:val="0"/>
        <w:kinsoku/>
        <w:wordWrap/>
        <w:overflowPunct/>
        <w:topLinePunct w:val="0"/>
        <w:autoSpaceDE/>
        <w:autoSpaceDN/>
        <w:bidi w:val="0"/>
        <w:adjustRightInd/>
        <w:snapToGrid/>
        <w:spacing w:line="560" w:lineRule="exact"/>
        <w:jc w:val="center"/>
        <w:rPr>
          <w:rFonts w:hint="default" w:ascii="方正小标宋简体" w:hAnsi="方正小标宋简体" w:eastAsia="方正小标宋简体" w:cs="方正小标宋简体"/>
          <w:b w:val="0"/>
          <w:bCs/>
          <w:color w:val="000000" w:themeColor="text1"/>
          <w:sz w:val="44"/>
          <w:szCs w:val="44"/>
          <w:lang w:val="en-US" w:eastAsia="zh-CN"/>
          <w14:textFill>
            <w14:solidFill>
              <w14:schemeClr w14:val="tx1"/>
            </w14:solidFill>
          </w14:textFill>
        </w:rPr>
      </w:pPr>
      <w:r>
        <w:rPr>
          <w:rFonts w:hint="eastAsia" w:ascii="方正小标宋简体" w:hAnsi="方正小标宋简体" w:eastAsia="方正小标宋简体" w:cs="方正小标宋简体"/>
          <w:b w:val="0"/>
          <w:bCs/>
          <w:color w:val="000000" w:themeColor="text1"/>
          <w:sz w:val="44"/>
          <w:szCs w:val="44"/>
          <w:lang w:val="en-US" w:eastAsia="zh-CN"/>
          <w14:textFill>
            <w14:solidFill>
              <w14:schemeClr w14:val="tx1"/>
            </w14:solidFill>
          </w14:textFill>
        </w:rPr>
        <w:t>视频脚本（请以发布当天视频为准）</w:t>
      </w:r>
    </w:p>
    <w:p>
      <w:pPr>
        <w:pStyle w:val="2"/>
        <w:keepNext w:val="0"/>
        <w:keepLines w:val="0"/>
        <w:pageBreakBefore w:val="0"/>
        <w:kinsoku/>
        <w:wordWrap/>
        <w:overflowPunct/>
        <w:topLinePunct w:val="0"/>
        <w:autoSpaceDE/>
        <w:autoSpaceDN/>
        <w:bidi w:val="0"/>
        <w:adjustRightInd/>
        <w:snapToGrid/>
        <w:spacing w:line="560" w:lineRule="exact"/>
        <w:rPr>
          <w:rFonts w:hint="eastAsia" w:ascii="方正小标宋简体" w:hAnsi="方正小标宋简体" w:eastAsia="方正小标宋简体" w:cs="方正小标宋简体"/>
          <w:b/>
          <w:color w:val="000000" w:themeColor="text1"/>
          <w:sz w:val="40"/>
          <w:szCs w:val="40"/>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60" w:lineRule="exact"/>
        <w:rPr>
          <w:rFonts w:hint="eastAsia"/>
        </w:rPr>
      </w:pP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【配音】</w:t>
      </w:r>
    </w:p>
    <w:p>
      <w:pPr>
        <w:keepNext w:val="0"/>
        <w:keepLines w:val="0"/>
        <w:pageBreakBefore w:val="0"/>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走在科技前沿，实现共同发展，</w:t>
      </w:r>
    </w:p>
    <w:p>
      <w:pPr>
        <w:keepNext w:val="0"/>
        <w:keepLines w:val="0"/>
        <w:pageBreakBefore w:val="0"/>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创新引领未来，建设美好世界，</w:t>
      </w:r>
    </w:p>
    <w:p>
      <w:pPr>
        <w:keepNext w:val="0"/>
        <w:keepLines w:val="0"/>
        <w:pageBreakBefore w:val="0"/>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2024中关村论坛年会重大科技成果，重磅发布——</w:t>
      </w:r>
    </w:p>
    <w:p>
      <w:pPr>
        <w:pStyle w:val="2"/>
        <w:keepNext w:val="0"/>
        <w:keepLines w:val="0"/>
        <w:pageBreakBefore w:val="0"/>
        <w:kinsoku/>
        <w:wordWrap/>
        <w:overflowPunct/>
        <w:topLinePunct w:val="0"/>
        <w:autoSpaceDE/>
        <w:autoSpaceDN/>
        <w:bidi w:val="0"/>
        <w:adjustRightInd/>
        <w:snapToGrid/>
        <w:spacing w:line="560" w:lineRule="exact"/>
        <w:rPr>
          <w:rFonts w:hint="eastAsia"/>
        </w:rPr>
      </w:pPr>
    </w:p>
    <w:p>
      <w:pPr>
        <w:keepNext w:val="0"/>
        <w:keepLines w:val="0"/>
        <w:pageBreakBefore w:val="0"/>
        <w:widowControl/>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重大科技成果一：《中关村世界领先科技园区建设方案（2024-2027年）》</w:t>
      </w:r>
    </w:p>
    <w:p>
      <w:pPr>
        <w:keepNext w:val="0"/>
        <w:keepLines w:val="0"/>
        <w:pageBreakBefore w:val="0"/>
        <w:widowControl/>
        <w:kinsoku/>
        <w:wordWrap/>
        <w:overflowPunct/>
        <w:topLinePunct w:val="0"/>
        <w:autoSpaceDE/>
        <w:autoSpaceDN/>
        <w:bidi w:val="0"/>
        <w:adjustRightInd/>
        <w:snapToGrid/>
        <w:spacing w:line="560" w:lineRule="exact"/>
        <w:textAlignment w:val="center"/>
        <w:rPr>
          <w:rFonts w:hint="eastAsia" w:ascii="仿宋_GB2312" w:hAnsi="仿宋_GB2312" w:eastAsia="仿宋_GB2312" w:cs="仿宋_GB2312"/>
          <w:b/>
          <w:color w:val="000000" w:themeColor="text1"/>
          <w:sz w:val="32"/>
          <w:szCs w:val="32"/>
          <w14:textFill>
            <w14:solidFill>
              <w14:schemeClr w14:val="tx1"/>
            </w14:solidFill>
          </w14:textFill>
        </w:rPr>
      </w:pP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rPr>
        <w:t>发布单位</w:t>
      </w: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rPr>
        <w:t>工信部、科技部、北京市人民政府</w:t>
      </w:r>
    </w:p>
    <w:p>
      <w:pPr>
        <w:pStyle w:val="3"/>
        <w:keepNext w:val="0"/>
        <w:keepLines w:val="0"/>
        <w:pageBreakBefore w:val="0"/>
        <w:kinsoku/>
        <w:wordWrap/>
        <w:overflowPunct/>
        <w:topLinePunct w:val="0"/>
        <w:autoSpaceDE/>
        <w:autoSpaceDN/>
        <w:bidi w:val="0"/>
        <w:adjustRightInd/>
        <w:snapToGrid/>
        <w:spacing w:line="560" w:lineRule="exact"/>
        <w:ind w:firstLine="640"/>
        <w:rPr>
          <w:rFonts w:hint="eastAsia" w:ascii="仿宋_GB2312" w:hAnsi="仿宋_GB2312" w:eastAsia="仿宋_GB2312" w:cs="仿宋_GB2312"/>
          <w:bCs/>
          <w:color w:val="000000" w:themeColor="text1"/>
          <w:szCs w:val="32"/>
          <w14:textFill>
            <w14:solidFill>
              <w14:schemeClr w14:val="tx1"/>
            </w14:solidFill>
          </w14:textFill>
        </w:rPr>
      </w:pPr>
      <w:r>
        <w:rPr>
          <w:rFonts w:hint="eastAsia" w:ascii="仿宋_GB2312" w:hAnsi="仿宋_GB2312" w:eastAsia="仿宋_GB2312" w:cs="仿宋_GB2312"/>
          <w:bCs/>
          <w:color w:val="000000" w:themeColor="text1"/>
          <w:szCs w:val="32"/>
          <w14:textFill>
            <w14:solidFill>
              <w14:schemeClr w14:val="tx1"/>
            </w14:solidFill>
          </w14:textFill>
        </w:rPr>
        <w:t>习近平总书记高度重视中关村创新发展，强调要加快建设世界领先科技园区。为深入贯彻落实习近平总书记重要指示精神，工业和信息化部、科学技术部和北京市人民政府联合印发《中关村世界领先科技园区建设方案》，围绕以理念领先带动原始创新、人才发展、一流企业、高端产业、开放创新生态全面领先，部署五方面50项重点任务，推出新一批重大政策和改革措施，将中关村打造成为北京国际科技创新中心建设跃升的主阵地、京津冀协同发展的突破口、中国高质量发展的引领者、全球创新网络的关键枢纽，为中国式现代化建设贡献力量。</w:t>
      </w:r>
    </w:p>
    <w:p>
      <w:pPr>
        <w:pStyle w:val="3"/>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b/>
          <w:bCs/>
          <w:color w:val="000000" w:themeColor="text1"/>
          <w:szCs w:val="32"/>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 xml:space="preserve">重大科技成果二：用“芯”加速AI——全模拟光电智能计算芯片 </w:t>
      </w:r>
    </w:p>
    <w:p>
      <w:pPr>
        <w:keepNext w:val="0"/>
        <w:keepLines w:val="0"/>
        <w:pageBreakBefore w:val="0"/>
        <w:widowControl/>
        <w:kinsoku/>
        <w:wordWrap/>
        <w:overflowPunct/>
        <w:topLinePunct w:val="0"/>
        <w:autoSpaceDE/>
        <w:autoSpaceDN/>
        <w:bidi w:val="0"/>
        <w:adjustRightInd/>
        <w:snapToGrid/>
        <w:spacing w:line="560" w:lineRule="exact"/>
        <w:textAlignment w:val="center"/>
        <w:rPr>
          <w:rFonts w:hint="default" w:ascii="Times New Roman" w:hAnsi="Times New Roman" w:eastAsia="仿宋_GB2312" w:cs="Times New Roman"/>
          <w:b/>
          <w:bCs/>
          <w:color w:val="000000" w:themeColor="text1"/>
          <w:sz w:val="32"/>
          <w:szCs w:val="32"/>
          <w:lang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eastAsia="zh-CN"/>
          <w14:textFill>
            <w14:solidFill>
              <w14:schemeClr w14:val="tx1"/>
            </w14:solidFill>
          </w14:textFill>
        </w:rPr>
        <w:t>【</w:t>
      </w: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发布单位</w:t>
      </w:r>
      <w:r>
        <w:rPr>
          <w:rFonts w:hint="eastAsia" w:ascii="仿宋_GB2312" w:hAnsi="仿宋_GB2312" w:eastAsia="仿宋_GB2312" w:cs="仿宋_GB2312"/>
          <w:b/>
          <w:bCs/>
          <w:color w:val="000000" w:themeColor="text1"/>
          <w:sz w:val="32"/>
          <w:szCs w:val="32"/>
          <w:lang w:eastAsia="zh-CN"/>
          <w14:textFill>
            <w14:solidFill>
              <w14:schemeClr w14:val="tx1"/>
            </w14:solidFill>
          </w14:textFill>
        </w:rPr>
        <w:t>】</w:t>
      </w:r>
      <w:r>
        <w:rPr>
          <w:rFonts w:hint="eastAsia" w:ascii="仿宋_GB2312" w:hAnsi="仿宋_GB2312" w:eastAsia="仿宋_GB2312" w:cs="仿宋_GB2312"/>
          <w:b/>
          <w:bCs/>
          <w:sz w:val="32"/>
          <w:szCs w:val="32"/>
        </w:rPr>
        <w:t xml:space="preserve">科技部、国家自然科学基金委、清华大学 </w:t>
      </w:r>
    </w:p>
    <w:p>
      <w:pPr>
        <w:keepNext w:val="0"/>
        <w:keepLines w:val="0"/>
        <w:pageBreakBefore w:val="0"/>
        <w:kinsoku/>
        <w:wordWrap/>
        <w:overflowPunct/>
        <w:topLinePunct w:val="0"/>
        <w:autoSpaceDE/>
        <w:autoSpaceDN/>
        <w:bidi w:val="0"/>
        <w:adjustRightInd/>
        <w:snapToGrid/>
        <w:spacing w:line="560" w:lineRule="exact"/>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AI时代，用“光”替代“电”作为信息处理载体的光计算技术已经成为人工智能芯片的重要技术核心。清华大学戴琼海团队突破传统芯片架构中的物理瓶颈，研制出国际首个全模拟光电智能计算芯片。该芯片具有高速度、低功耗的特点，在智能视觉目标识别任务方面的算力是目前高性能商用芯片的3000余倍，能效提升400万倍，该成果开创了全新计算技术时代，有望成为人工智能发展的有力引擎。</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b/>
          <w:bCs/>
          <w:color w:val="000000" w:themeColor="text1"/>
          <w:sz w:val="32"/>
          <w:szCs w:val="32"/>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sz w:val="32"/>
          <w:szCs w:val="32"/>
          <w:highlight w:val="none"/>
        </w:rPr>
      </w:pPr>
      <w:r>
        <w:rPr>
          <w:rFonts w:hint="eastAsia" w:ascii="仿宋_GB2312" w:hAnsi="仿宋_GB2312" w:eastAsia="仿宋_GB2312" w:cs="仿宋_GB2312"/>
          <w:b/>
          <w:bCs/>
          <w:sz w:val="32"/>
          <w:szCs w:val="32"/>
          <w:highlight w:val="none"/>
        </w:rPr>
        <w:t>重大科技成果三: 业内瞩目精彩纷呈—人工智能取得系列成果</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b/>
          <w:bCs/>
          <w:sz w:val="32"/>
          <w:szCs w:val="32"/>
          <w:highlight w:val="none"/>
          <w:lang w:eastAsia="zh-CN"/>
        </w:rPr>
      </w:pPr>
      <w:r>
        <w:rPr>
          <w:rFonts w:hint="eastAsia" w:ascii="仿宋_GB2312" w:hAnsi="仿宋_GB2312" w:eastAsia="仿宋_GB2312" w:cs="仿宋_GB2312"/>
          <w:b/>
          <w:bCs/>
          <w:sz w:val="32"/>
          <w:szCs w:val="32"/>
          <w:highlight w:val="none"/>
          <w:lang w:eastAsia="zh-CN"/>
        </w:rPr>
        <w:t>【</w:t>
      </w:r>
      <w:r>
        <w:rPr>
          <w:rFonts w:hint="eastAsia" w:ascii="仿宋_GB2312" w:hAnsi="仿宋_GB2312" w:eastAsia="仿宋_GB2312" w:cs="仿宋_GB2312"/>
          <w:b/>
          <w:bCs/>
          <w:sz w:val="32"/>
          <w:szCs w:val="32"/>
          <w:highlight w:val="none"/>
          <w:lang w:val="en-US" w:eastAsia="zh-CN"/>
        </w:rPr>
        <w:t>发布单位</w:t>
      </w:r>
      <w:r>
        <w:rPr>
          <w:rFonts w:hint="eastAsia" w:ascii="仿宋_GB2312" w:hAnsi="仿宋_GB2312" w:eastAsia="仿宋_GB2312" w:cs="仿宋_GB2312"/>
          <w:b/>
          <w:bCs/>
          <w:sz w:val="32"/>
          <w:szCs w:val="32"/>
          <w:highlight w:val="none"/>
          <w:lang w:eastAsia="zh-CN"/>
        </w:rPr>
        <w:t>】科技部新一代人工智能发展研究中心、中国信息通信研究院、北京市科学技术委员会、中关村科技园区管理委员会</w:t>
      </w:r>
    </w:p>
    <w:p>
      <w:pPr>
        <w:keepNext w:val="0"/>
        <w:keepLines w:val="0"/>
        <w:pageBreakBefore w:val="0"/>
        <w:kinsoku/>
        <w:wordWrap/>
        <w:overflowPunct/>
        <w:topLinePunct w:val="0"/>
        <w:autoSpaceDE/>
        <w:autoSpaceDN/>
        <w:bidi w:val="0"/>
        <w:adjustRightInd/>
        <w:snapToGrid/>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AIGC技术快速演进，多个千亿参数基座大模型发布，用户规模国内领先</w:t>
      </w:r>
      <w:bookmarkStart w:id="0" w:name="_GoBack"/>
      <w:bookmarkEnd w:id="0"/>
      <w:r>
        <w:rPr>
          <w:rFonts w:hint="eastAsia" w:ascii="仿宋_GB2312" w:hAnsi="仿宋_GB2312" w:eastAsia="仿宋_GB2312" w:cs="仿宋_GB2312"/>
          <w:sz w:val="32"/>
          <w:szCs w:val="32"/>
        </w:rPr>
        <w:t>，长文本上下文理解能力不断增强，AI Agent智能体应用逐步拓展，具身智能潜力初显，文生音乐模型国内首发，文生视频模型取得原创性突破，生成时长和质量实现大幅提升。以原创引领，基于价值驱动的全球首个通用人工智能系统原型“通通”发布，可以识别人类意图并主动提供帮助，已达到儿童一定智力水平，并且正在持续成长中。</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color w:val="000000" w:themeColor="text1"/>
          <w:sz w:val="32"/>
          <w:szCs w:val="32"/>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sz w:val="32"/>
          <w:szCs w:val="32"/>
        </w:rPr>
        <w:t>重大科技成果四</w:t>
      </w:r>
      <w:r>
        <w:rPr>
          <w:rFonts w:hint="eastAsia" w:ascii="仿宋_GB2312" w:hAnsi="仿宋_GB2312" w:eastAsia="仿宋_GB2312" w:cs="仿宋_GB2312"/>
          <w:b/>
          <w:bCs/>
          <w:color w:val="000000" w:themeColor="text1"/>
          <w:sz w:val="32"/>
          <w:szCs w:val="32"/>
          <w14:textFill>
            <w14:solidFill>
              <w14:schemeClr w14:val="tx1"/>
            </w14:solidFill>
          </w14:textFill>
        </w:rPr>
        <w:t>：驾驭激光的利器——转角氮化硼光学晶体原创理论与材料</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b/>
          <w:bCs/>
          <w:color w:val="000000" w:themeColor="text1"/>
          <w:sz w:val="32"/>
          <w:szCs w:val="32"/>
          <w:lang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eastAsia="zh-CN"/>
          <w14:textFill>
            <w14:solidFill>
              <w14:schemeClr w14:val="tx1"/>
            </w14:solidFill>
          </w14:textFill>
        </w:rPr>
        <w:t>【</w:t>
      </w: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发布单位</w:t>
      </w:r>
      <w:r>
        <w:rPr>
          <w:rFonts w:hint="eastAsia" w:ascii="仿宋_GB2312" w:hAnsi="仿宋_GB2312" w:eastAsia="仿宋_GB2312" w:cs="仿宋_GB2312"/>
          <w:b/>
          <w:bCs/>
          <w:color w:val="000000" w:themeColor="text1"/>
          <w:sz w:val="32"/>
          <w:szCs w:val="32"/>
          <w:lang w:eastAsia="zh-CN"/>
          <w14:textFill>
            <w14:solidFill>
              <w14:schemeClr w14:val="tx1"/>
            </w14:solidFill>
          </w14:textFill>
        </w:rPr>
        <w:t>】</w:t>
      </w:r>
      <w:r>
        <w:rPr>
          <w:rFonts w:hint="eastAsia" w:ascii="仿宋_GB2312" w:hAnsi="仿宋_GB2312" w:eastAsia="仿宋_GB2312" w:cs="仿宋_GB2312"/>
          <w:b/>
          <w:bCs/>
          <w:sz w:val="32"/>
          <w:szCs w:val="32"/>
        </w:rPr>
        <w:t>教育部、北京大学</w:t>
      </w:r>
    </w:p>
    <w:p>
      <w:pPr>
        <w:keepNext w:val="0"/>
        <w:keepLines w:val="0"/>
        <w:pageBreakBefore w:val="0"/>
        <w:kinsoku/>
        <w:wordWrap/>
        <w:overflowPunct/>
        <w:topLinePunct w:val="0"/>
        <w:autoSpaceDE/>
        <w:autoSpaceDN/>
        <w:bidi w:val="0"/>
        <w:adjustRightInd/>
        <w:snapToGrid/>
        <w:spacing w:line="560" w:lineRule="exact"/>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光学晶体被称为激光技术的“心脏”。北京大学科研团队创造性提出“转角相位匹配理论”，并应用氮化硼首次制备出超薄、高能效光学晶体“转角菱方氮化硼”。厚度仅为微米量级，能效提升至少100倍，为新一代激光技术奠定了理论和材料基础。</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color w:val="000000" w:themeColor="text1"/>
          <w:sz w:val="32"/>
          <w:szCs w:val="32"/>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重大科技成果五：构筑量子计算“实用之路”——</w:t>
      </w:r>
      <w:r>
        <w:rPr>
          <w:rFonts w:hint="eastAsia" w:ascii="仿宋_GB2312" w:hAnsi="仿宋_GB2312" w:eastAsia="仿宋_GB2312" w:cs="仿宋_GB2312"/>
          <w:b/>
          <w:color w:val="000000" w:themeColor="text1"/>
          <w:sz w:val="32"/>
          <w:szCs w:val="32"/>
          <w14:textFill>
            <w14:solidFill>
              <w14:schemeClr w14:val="tx1"/>
            </w14:solidFill>
          </w14:textFill>
        </w:rPr>
        <w:t>量子云算力集群</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b/>
          <w:bCs/>
          <w:color w:val="000000" w:themeColor="text1"/>
          <w:sz w:val="32"/>
          <w:szCs w:val="32"/>
          <w:lang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eastAsia="zh-CN"/>
          <w14:textFill>
            <w14:solidFill>
              <w14:schemeClr w14:val="tx1"/>
            </w14:solidFill>
          </w14:textFill>
        </w:rPr>
        <w:t>【</w:t>
      </w: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发布单位</w:t>
      </w:r>
      <w:r>
        <w:rPr>
          <w:rFonts w:hint="eastAsia" w:ascii="仿宋_GB2312" w:hAnsi="仿宋_GB2312" w:eastAsia="仿宋_GB2312" w:cs="仿宋_GB2312"/>
          <w:b/>
          <w:bCs/>
          <w:color w:val="000000" w:themeColor="text1"/>
          <w:sz w:val="32"/>
          <w:szCs w:val="32"/>
          <w:lang w:eastAsia="zh-CN"/>
          <w14:textFill>
            <w14:solidFill>
              <w14:schemeClr w14:val="tx1"/>
            </w14:solidFill>
          </w14:textFill>
        </w:rPr>
        <w:t>】</w:t>
      </w:r>
      <w:r>
        <w:rPr>
          <w:rFonts w:hint="eastAsia" w:ascii="仿宋_GB2312" w:hAnsi="仿宋_GB2312" w:eastAsia="仿宋_GB2312" w:cs="仿宋_GB2312"/>
          <w:b/>
          <w:sz w:val="32"/>
          <w:szCs w:val="32"/>
        </w:rPr>
        <w:t>北京量子信息科学研究院、中国科学院物理研究所、清华大学</w:t>
      </w:r>
    </w:p>
    <w:p>
      <w:pPr>
        <w:keepNext w:val="0"/>
        <w:keepLines w:val="0"/>
        <w:pageBreakBefore w:val="0"/>
        <w:kinsoku/>
        <w:wordWrap/>
        <w:overflowPunct/>
        <w:topLinePunct w:val="0"/>
        <w:autoSpaceDE/>
        <w:autoSpaceDN/>
        <w:bidi w:val="0"/>
        <w:adjustRightInd/>
        <w:snapToGrid/>
        <w:spacing w:line="560" w:lineRule="exact"/>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北京量子信息科学研究院联合中国科学院物理研究所、清华大学等团队完成大规模量子云算力集群的建设，实现了五块百比特规模量子芯片算力资源和经典算力资源的深度融合，总物理比特数达到590，综合指标进入国际第一梯队。</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b/>
          <w:bCs/>
          <w:color w:val="000000" w:themeColor="text1"/>
          <w:sz w:val="32"/>
          <w:szCs w:val="32"/>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重大科技成果六：绿色能源的强大引擎——300兆瓦级F级重型燃气轮机完成总装</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b/>
          <w:bCs/>
          <w:color w:val="000000" w:themeColor="text1"/>
          <w:sz w:val="32"/>
          <w:szCs w:val="32"/>
          <w:lang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eastAsia="zh-CN"/>
          <w14:textFill>
            <w14:solidFill>
              <w14:schemeClr w14:val="tx1"/>
            </w14:solidFill>
          </w14:textFill>
        </w:rPr>
        <w:t>【</w:t>
      </w: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发布单位</w:t>
      </w:r>
      <w:r>
        <w:rPr>
          <w:rFonts w:hint="eastAsia" w:ascii="仿宋_GB2312" w:hAnsi="仿宋_GB2312" w:eastAsia="仿宋_GB2312" w:cs="仿宋_GB2312"/>
          <w:b/>
          <w:bCs/>
          <w:color w:val="000000" w:themeColor="text1"/>
          <w:sz w:val="32"/>
          <w:szCs w:val="32"/>
          <w:lang w:eastAsia="zh-CN"/>
          <w14:textFill>
            <w14:solidFill>
              <w14:schemeClr w14:val="tx1"/>
            </w14:solidFill>
          </w14:textFill>
        </w:rPr>
        <w:t>】</w:t>
      </w:r>
      <w:r>
        <w:rPr>
          <w:rFonts w:hint="eastAsia" w:ascii="仿宋_GB2312" w:hAnsi="仿宋_GB2312" w:eastAsia="仿宋_GB2312" w:cs="仿宋_GB2312"/>
          <w:b/>
          <w:bCs/>
          <w:sz w:val="32"/>
          <w:szCs w:val="32"/>
        </w:rPr>
        <w:t>国务院国资委、国家电力投资集团有限公司</w:t>
      </w:r>
    </w:p>
    <w:p>
      <w:pPr>
        <w:keepNext w:val="0"/>
        <w:keepLines w:val="0"/>
        <w:pageBreakBefore w:val="0"/>
        <w:kinsoku/>
        <w:wordWrap/>
        <w:overflowPunct/>
        <w:topLinePunct w:val="0"/>
        <w:autoSpaceDE/>
        <w:autoSpaceDN/>
        <w:bidi w:val="0"/>
        <w:adjustRightInd/>
        <w:snapToGrid/>
        <w:spacing w:line="560" w:lineRule="exact"/>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由国家电力投资集团有限公司研制的300兆瓦级F级重型燃气轮机首台样机总装下线，是我国自主研制的最大功率、最高技术等级重型燃气轮机，具有清洁低碳安全高效等特点，对保障国家能源安全具有重要意义，也为全球能源领域的发展带来更多可能性和机遇。</w:t>
      </w:r>
    </w:p>
    <w:p>
      <w:pPr>
        <w:pStyle w:val="3"/>
        <w:keepNext w:val="0"/>
        <w:keepLines w:val="0"/>
        <w:pageBreakBefore w:val="0"/>
        <w:kinsoku/>
        <w:wordWrap/>
        <w:overflowPunct/>
        <w:topLinePunct w:val="0"/>
        <w:autoSpaceDE/>
        <w:autoSpaceDN/>
        <w:bidi w:val="0"/>
        <w:adjustRightInd/>
        <w:snapToGrid/>
        <w:spacing w:line="560" w:lineRule="exact"/>
        <w:ind w:firstLine="640"/>
        <w:rPr>
          <w:rFonts w:hint="eastAsia" w:ascii="仿宋_GB2312" w:hAnsi="仿宋_GB2312" w:eastAsia="仿宋_GB2312" w:cs="仿宋_GB2312"/>
          <w:color w:val="000000" w:themeColor="text1"/>
          <w:szCs w:val="32"/>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重大科技成果七：来自开源的“芯”贡献——第三代“香山”RISC-V开源高性能处理器核</w:t>
      </w:r>
    </w:p>
    <w:p>
      <w:pPr>
        <w:pStyle w:val="3"/>
        <w:keepNext w:val="0"/>
        <w:keepLines w:val="0"/>
        <w:pageBreakBefore w:val="0"/>
        <w:kinsoku/>
        <w:wordWrap/>
        <w:overflowPunct/>
        <w:topLinePunct w:val="0"/>
        <w:autoSpaceDE/>
        <w:autoSpaceDN/>
        <w:bidi w:val="0"/>
        <w:adjustRightInd/>
        <w:snapToGrid/>
        <w:spacing w:line="560" w:lineRule="exact"/>
        <w:ind w:firstLine="0" w:firstLineChars="0"/>
        <w:rPr>
          <w:rFonts w:hint="eastAsia" w:ascii="仿宋_GB2312" w:hAnsi="仿宋_GB2312" w:eastAsia="仿宋_GB2312" w:cs="仿宋_GB2312"/>
          <w:lang w:eastAsia="zh-CN"/>
        </w:rPr>
      </w:pPr>
      <w:r>
        <w:rPr>
          <w:rFonts w:hint="eastAsia" w:ascii="仿宋_GB2312" w:hAnsi="仿宋_GB2312" w:eastAsia="仿宋_GB2312" w:cs="仿宋_GB2312"/>
          <w:b/>
          <w:bCs/>
          <w:szCs w:val="32"/>
          <w:lang w:eastAsia="zh-CN"/>
        </w:rPr>
        <w:t>【</w:t>
      </w:r>
      <w:r>
        <w:rPr>
          <w:rFonts w:hint="eastAsia" w:ascii="仿宋_GB2312" w:hAnsi="仿宋_GB2312" w:eastAsia="仿宋_GB2312" w:cs="仿宋_GB2312"/>
          <w:b/>
          <w:bCs/>
          <w:szCs w:val="32"/>
          <w:lang w:val="en-US" w:eastAsia="zh-CN"/>
        </w:rPr>
        <w:t>发布单位</w:t>
      </w:r>
      <w:r>
        <w:rPr>
          <w:rFonts w:hint="eastAsia" w:ascii="仿宋_GB2312" w:hAnsi="仿宋_GB2312" w:eastAsia="仿宋_GB2312" w:cs="仿宋_GB2312"/>
          <w:b/>
          <w:bCs/>
          <w:szCs w:val="32"/>
          <w:lang w:eastAsia="zh-CN"/>
        </w:rPr>
        <w:t>】</w:t>
      </w:r>
      <w:r>
        <w:rPr>
          <w:rFonts w:hint="eastAsia" w:ascii="仿宋_GB2312" w:hAnsi="仿宋_GB2312" w:eastAsia="仿宋_GB2312" w:cs="仿宋_GB2312"/>
          <w:b/>
          <w:bCs/>
          <w:szCs w:val="32"/>
        </w:rPr>
        <w:t>中国科学院计算技术研究所、北京开源芯片研究院</w:t>
      </w:r>
    </w:p>
    <w:p>
      <w:pPr>
        <w:keepNext w:val="0"/>
        <w:keepLines w:val="0"/>
        <w:pageBreakBefore w:val="0"/>
        <w:kinsoku/>
        <w:wordWrap/>
        <w:overflowPunct/>
        <w:topLinePunct w:val="0"/>
        <w:autoSpaceDE/>
        <w:autoSpaceDN/>
        <w:bidi w:val="0"/>
        <w:adjustRightInd/>
        <w:snapToGrid/>
        <w:spacing w:line="560" w:lineRule="exact"/>
        <w:ind w:firstLine="640" w:firstLineChars="200"/>
        <w:rPr>
          <w:rFonts w:hint="eastAsia" w:ascii="仿宋_GB2312" w:hAnsi="仿宋_GB2312" w:eastAsia="仿宋_GB2312" w:cs="仿宋_GB2312"/>
          <w:bCs/>
          <w:color w:val="000000" w:themeColor="text1"/>
          <w:sz w:val="32"/>
          <w:szCs w:val="32"/>
          <w14:textFill>
            <w14:solidFill>
              <w14:schemeClr w14:val="tx1"/>
            </w14:solidFill>
          </w14:textFill>
        </w:rPr>
      </w:pPr>
      <w:r>
        <w:rPr>
          <w:rFonts w:hint="eastAsia" w:ascii="仿宋_GB2312" w:hAnsi="仿宋_GB2312" w:eastAsia="仿宋_GB2312" w:cs="仿宋_GB2312"/>
          <w:bCs/>
          <w:color w:val="000000" w:themeColor="text1"/>
          <w:sz w:val="32"/>
          <w:szCs w:val="32"/>
          <w14:textFill>
            <w14:solidFill>
              <w14:schemeClr w14:val="tx1"/>
            </w14:solidFill>
          </w14:textFill>
        </w:rPr>
        <w:t>第五代精简指令集（RISC-V）正在引领新一轮处理器芯片技术与产业的变革浪潮。中国科学院计算技术研究所、</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bCs/>
          <w:color w:val="000000" w:themeColor="text1"/>
          <w:sz w:val="32"/>
          <w:szCs w:val="32"/>
          <w14:textFill>
            <w14:solidFill>
              <w14:schemeClr w14:val="tx1"/>
            </w14:solidFill>
          </w14:textFill>
        </w:rPr>
      </w:pPr>
      <w:r>
        <w:rPr>
          <w:rFonts w:hint="eastAsia" w:ascii="仿宋_GB2312" w:hAnsi="仿宋_GB2312" w:eastAsia="仿宋_GB2312" w:cs="仿宋_GB2312"/>
          <w:bCs/>
          <w:color w:val="000000" w:themeColor="text1"/>
          <w:sz w:val="32"/>
          <w:szCs w:val="32"/>
          <w14:textFill>
            <w14:solidFill>
              <w14:schemeClr w14:val="tx1"/>
            </w14:solidFill>
          </w14:textFill>
        </w:rPr>
        <w:t>北京开源芯片研究院开发出第三代“香山”开源高性能RISC-V处理器核，是在国际上首次基于开源模式、使用敏捷开发方法、联合开发的处理器核，性能水平进入全球第一梯队，成为国际开源社区性能最强、最活跃的RISC-V处理器核，为先进计算生态提供开源共享的共性底座技术支撑。</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b/>
          <w:bCs/>
          <w:color w:val="000000" w:themeColor="text1"/>
          <w:sz w:val="32"/>
          <w:szCs w:val="32"/>
          <w14:textFill>
            <w14:solidFill>
              <w14:schemeClr w14:val="tx1"/>
            </w14:solidFill>
          </w14:textFill>
        </w:rPr>
      </w:pPr>
    </w:p>
    <w:p>
      <w:pPr>
        <w:pStyle w:val="3"/>
        <w:keepNext w:val="0"/>
        <w:keepLines w:val="0"/>
        <w:pageBreakBefore w:val="0"/>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color w:val="000000" w:themeColor="text1"/>
          <w:szCs w:val="32"/>
          <w14:textFill>
            <w14:solidFill>
              <w14:schemeClr w14:val="tx1"/>
            </w14:solidFill>
          </w14:textFill>
        </w:rPr>
      </w:pPr>
      <w:r>
        <w:rPr>
          <w:rFonts w:hint="eastAsia" w:ascii="仿宋_GB2312" w:hAnsi="仿宋_GB2312" w:eastAsia="仿宋_GB2312" w:cs="仿宋_GB2312"/>
          <w:b/>
          <w:bCs/>
          <w:color w:val="000000" w:themeColor="text1"/>
          <w:szCs w:val="32"/>
          <w14:textFill>
            <w14:solidFill>
              <w14:schemeClr w14:val="tx1"/>
            </w14:solidFill>
          </w14:textFill>
        </w:rPr>
        <w:t>重大科技成果八：基因改良护航粮食安全——农作物耐盐碱机制解析及应用</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b/>
          <w:bCs/>
          <w:color w:val="000000" w:themeColor="text1"/>
          <w:szCs w:val="32"/>
          <w:lang w:eastAsia="zh-CN"/>
          <w14:textFill>
            <w14:solidFill>
              <w14:schemeClr w14:val="tx1"/>
            </w14:solidFill>
          </w14:textFill>
        </w:rPr>
      </w:pP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lang w:val="en-US" w:eastAsia="zh-CN"/>
        </w:rPr>
        <w:t>发布单位</w:t>
      </w: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rPr>
        <w:t>中国科学院遗传与发育生物学研究所</w:t>
      </w:r>
    </w:p>
    <w:p>
      <w:pPr>
        <w:pStyle w:val="11"/>
        <w:keepNext w:val="0"/>
        <w:keepLines w:val="0"/>
        <w:pageBreakBefore w:val="0"/>
        <w:kinsoku/>
        <w:wordWrap/>
        <w:overflowPunct/>
        <w:topLinePunct w:val="0"/>
        <w:autoSpaceDE/>
        <w:autoSpaceDN/>
        <w:bidi w:val="0"/>
        <w:adjustRightInd/>
        <w:snapToGrid/>
        <w:spacing w:line="560" w:lineRule="exact"/>
        <w:ind w:firstLine="643"/>
        <w:rPr>
          <w:rFonts w:hint="eastAsia" w:ascii="仿宋_GB2312" w:hAnsi="仿宋_GB2312" w:eastAsia="仿宋_GB2312" w:cs="仿宋_GB2312"/>
          <w:color w:val="000000" w:themeColor="text1"/>
          <w:sz w:val="32"/>
          <w:szCs w:val="32"/>
          <w:lang w:val="zh-TW" w:eastAsia="zh-TW"/>
          <w14:textFill>
            <w14:solidFill>
              <w14:schemeClr w14:val="tx1"/>
            </w14:solidFill>
          </w14:textFill>
        </w:rPr>
      </w:pPr>
      <w:r>
        <w:rPr>
          <w:rFonts w:hint="eastAsia" w:ascii="仿宋_GB2312" w:hAnsi="仿宋_GB2312" w:eastAsia="仿宋_GB2312" w:cs="仿宋_GB2312"/>
          <w:color w:val="000000" w:themeColor="text1"/>
          <w:sz w:val="32"/>
          <w:szCs w:val="32"/>
          <w:lang w:val="zh-TW" w:eastAsia="zh-TW"/>
          <w14:textFill>
            <w14:solidFill>
              <w14:schemeClr w14:val="tx1"/>
            </w14:solidFill>
          </w14:textFill>
        </w:rPr>
        <w:t>中国科学院遗传与发育生物学研究所团队利用非洲萨赫勒高盐碱地的高粱自然群体材料，定位克隆到与耐碱性显著相关的主效基因，并揭示了其赋予植物高耐盐碱性的机制。</w:t>
      </w:r>
      <w:r>
        <w:rPr>
          <w:rFonts w:hint="eastAsia" w:ascii="仿宋_GB2312" w:hAnsi="仿宋_GB2312" w:eastAsia="仿宋_GB2312" w:cs="仿宋_GB2312"/>
          <w:color w:val="000000" w:themeColor="text1"/>
          <w:sz w:val="32"/>
          <w:szCs w:val="32"/>
          <w:lang w:val="zh-TW"/>
          <w14:textFill>
            <w14:solidFill>
              <w14:schemeClr w14:val="tx1"/>
            </w14:solidFill>
          </w14:textFill>
        </w:rPr>
        <w:t>该成果</w:t>
      </w:r>
      <w:r>
        <w:rPr>
          <w:rFonts w:hint="eastAsia" w:ascii="仿宋_GB2312" w:hAnsi="仿宋_GB2312" w:eastAsia="仿宋_GB2312" w:cs="仿宋_GB2312"/>
          <w:color w:val="000000" w:themeColor="text1"/>
          <w:sz w:val="32"/>
          <w:szCs w:val="32"/>
          <w:lang w:val="zh-TW" w:eastAsia="zh-TW"/>
          <w14:textFill>
            <w14:solidFill>
              <w14:schemeClr w14:val="tx1"/>
            </w14:solidFill>
          </w14:textFill>
        </w:rPr>
        <w:t>为盐碱地综合利用和保障粮食安全提供了新思路。</w:t>
      </w:r>
    </w:p>
    <w:p>
      <w:pPr>
        <w:pStyle w:val="10"/>
        <w:keepNext w:val="0"/>
        <w:keepLines w:val="0"/>
        <w:pageBreakBefore w:val="0"/>
        <w:kinsoku/>
        <w:wordWrap/>
        <w:overflowPunct/>
        <w:topLinePunct w:val="0"/>
        <w:autoSpaceDE/>
        <w:autoSpaceDN/>
        <w:bidi w:val="0"/>
        <w:adjustRightInd/>
        <w:snapToGrid/>
        <w:spacing w:line="560" w:lineRule="exact"/>
        <w:ind w:left="0" w:leftChars="0" w:firstLine="0" w:firstLineChars="0"/>
        <w:rPr>
          <w:rFonts w:hint="eastAsia" w:ascii="仿宋_GB2312" w:hAnsi="仿宋_GB2312" w:eastAsia="仿宋_GB2312" w:cs="仿宋_GB2312"/>
          <w:b/>
          <w:color w:val="000000" w:themeColor="text1"/>
          <w:sz w:val="32"/>
          <w:szCs w:val="32"/>
          <w14:textFill>
            <w14:solidFill>
              <w14:schemeClr w14:val="tx1"/>
            </w14:solidFill>
          </w14:textFill>
        </w:rPr>
      </w:pPr>
    </w:p>
    <w:p>
      <w:pPr>
        <w:pStyle w:val="10"/>
        <w:keepNext w:val="0"/>
        <w:keepLines w:val="0"/>
        <w:pageBreakBefore w:val="0"/>
        <w:kinsoku/>
        <w:wordWrap/>
        <w:overflowPunct/>
        <w:topLinePunct w:val="0"/>
        <w:autoSpaceDE/>
        <w:autoSpaceDN/>
        <w:bidi w:val="0"/>
        <w:adjustRightInd/>
        <w:snapToGrid/>
        <w:spacing w:line="560" w:lineRule="exact"/>
        <w:ind w:left="0" w:leftChars="0" w:firstLine="643" w:firstLineChars="200"/>
        <w:rPr>
          <w:rFonts w:hint="eastAsia" w:ascii="仿宋_GB2312" w:hAnsi="仿宋_GB2312" w:eastAsia="仿宋_GB2312" w:cs="仿宋_GB2312"/>
          <w:b/>
          <w:color w:val="000000" w:themeColor="text1"/>
          <w:sz w:val="32"/>
          <w:szCs w:val="32"/>
          <w14:textFill>
            <w14:solidFill>
              <w14:schemeClr w14:val="tx1"/>
            </w14:solidFill>
          </w14:textFill>
        </w:rPr>
      </w:pPr>
      <w:r>
        <w:rPr>
          <w:rFonts w:hint="eastAsia" w:ascii="仿宋_GB2312" w:hAnsi="仿宋_GB2312" w:eastAsia="仿宋_GB2312" w:cs="仿宋_GB2312"/>
          <w:b/>
          <w:color w:val="000000" w:themeColor="text1"/>
          <w:sz w:val="32"/>
          <w:szCs w:val="32"/>
          <w14:textFill>
            <w14:solidFill>
              <w14:schemeClr w14:val="tx1"/>
            </w14:solidFill>
          </w14:textFill>
        </w:rPr>
        <w:t>重大科技成果九：拓展“心有灵犀”的边界——“北脑二号”智能脑机系统</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lang w:val="en-US" w:eastAsia="zh-CN"/>
        </w:rPr>
        <w:t>发布单位</w:t>
      </w:r>
      <w:r>
        <w:rPr>
          <w:rFonts w:hint="eastAsia" w:ascii="仿宋_GB2312" w:hAnsi="仿宋_GB2312" w:eastAsia="仿宋_GB2312" w:cs="仿宋_GB2312"/>
          <w:b/>
          <w:bCs/>
          <w:sz w:val="32"/>
          <w:szCs w:val="32"/>
          <w:lang w:eastAsia="zh-CN"/>
        </w:rPr>
        <w:t>】</w:t>
      </w:r>
      <w:r>
        <w:rPr>
          <w:rFonts w:hint="eastAsia" w:ascii="仿宋_GB2312" w:hAnsi="仿宋_GB2312" w:eastAsia="仿宋_GB2312" w:cs="仿宋_GB2312"/>
          <w:b/>
          <w:bCs/>
          <w:sz w:val="32"/>
          <w:szCs w:val="32"/>
        </w:rPr>
        <w:t>北京脑科学与类脑研究所、北京芯智达神经技术有限公司</w:t>
      </w:r>
    </w:p>
    <w:p>
      <w:pPr>
        <w:pStyle w:val="10"/>
        <w:keepNext w:val="0"/>
        <w:keepLines w:val="0"/>
        <w:pageBreakBefore w:val="0"/>
        <w:kinsoku/>
        <w:wordWrap/>
        <w:overflowPunct/>
        <w:topLinePunct w:val="0"/>
        <w:autoSpaceDE/>
        <w:autoSpaceDN/>
        <w:bidi w:val="0"/>
        <w:adjustRightInd/>
        <w:snapToGrid/>
        <w:spacing w:line="560" w:lineRule="exact"/>
        <w:ind w:left="0" w:leftChars="0"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sz w:val="32"/>
          <w:szCs w:val="32"/>
        </w:rPr>
        <w:t>脑机接口是在大脑与外部设备之间建立连接的一项新型交叉技术，是国际上竞相发展的科技前沿。</w:t>
      </w:r>
      <w:r>
        <w:rPr>
          <w:rFonts w:hint="eastAsia" w:ascii="仿宋_GB2312" w:hAnsi="仿宋_GB2312" w:eastAsia="仿宋_GB2312" w:cs="仿宋_GB2312"/>
          <w:color w:val="000000" w:themeColor="text1"/>
          <w:sz w:val="32"/>
          <w:szCs w:val="32"/>
          <w14:textFill>
            <w14:solidFill>
              <w14:schemeClr w14:val="tx1"/>
            </w14:solidFill>
          </w14:textFill>
        </w:rPr>
        <w:t>北京脑科学与类脑研究所联合北京芯智达神经技术有限公司，成功构建“北脑二号”</w:t>
      </w:r>
      <w:r>
        <w:rPr>
          <w:rFonts w:hint="eastAsia" w:ascii="仿宋_GB2312" w:hAnsi="仿宋_GB2312" w:eastAsia="仿宋_GB2312" w:cs="仿宋_GB2312"/>
          <w:color w:val="000000" w:themeColor="text1"/>
          <w14:textFill>
            <w14:solidFill>
              <w14:schemeClr w14:val="tx1"/>
            </w14:solidFill>
          </w14:textFill>
        </w:rPr>
        <w:t xml:space="preserve"> </w:t>
      </w:r>
      <w:r>
        <w:rPr>
          <w:rFonts w:hint="eastAsia" w:ascii="仿宋_GB2312" w:hAnsi="仿宋_GB2312" w:eastAsia="仿宋_GB2312" w:cs="仿宋_GB2312"/>
          <w:color w:val="000000" w:themeColor="text1"/>
          <w:sz w:val="32"/>
          <w:szCs w:val="32"/>
          <w14:textFill>
            <w14:solidFill>
              <w14:schemeClr w14:val="tx1"/>
            </w14:solidFill>
          </w14:textFill>
        </w:rPr>
        <w:t>高性能侵入式智能脑机系统。自主研发的高通量柔性微丝电极、大通道数高速神经电信号采集设备，能有效支撑高效运动想象神经编解码的开发，电极性能参数世界领先，并在国际上首次实现猕猴对二维运动光标的灵巧脑控。该技术难题的突破，为更自然、更灵活的新一代神经假肢的开发等临床应用奠定了基础。</w:t>
      </w:r>
    </w:p>
    <w:p>
      <w:pPr>
        <w:pStyle w:val="10"/>
        <w:keepNext w:val="0"/>
        <w:keepLines w:val="0"/>
        <w:pageBreakBefore w:val="0"/>
        <w:kinsoku/>
        <w:wordWrap/>
        <w:overflowPunct/>
        <w:topLinePunct w:val="0"/>
        <w:autoSpaceDE/>
        <w:autoSpaceDN/>
        <w:bidi w:val="0"/>
        <w:adjustRightInd/>
        <w:snapToGrid/>
        <w:spacing w:line="560" w:lineRule="exact"/>
        <w:ind w:left="840"/>
        <w:rPr>
          <w:rFonts w:hint="eastAsia" w:ascii="仿宋_GB2312" w:hAnsi="仿宋_GB2312" w:eastAsia="仿宋_GB2312" w:cs="仿宋_GB2312"/>
          <w:color w:val="000000" w:themeColor="text1"/>
          <w:sz w:val="32"/>
          <w:szCs w:val="32"/>
          <w14:textFill>
            <w14:solidFill>
              <w14:schemeClr w14:val="tx1"/>
            </w14:solidFill>
          </w14:textFill>
        </w:rPr>
      </w:pPr>
    </w:p>
    <w:p>
      <w:pPr>
        <w:pStyle w:val="3"/>
        <w:keepNext w:val="0"/>
        <w:keepLines w:val="0"/>
        <w:pageBreakBefore w:val="0"/>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color w:val="000000" w:themeColor="text1"/>
          <w:szCs w:val="32"/>
          <w14:textFill>
            <w14:solidFill>
              <w14:schemeClr w14:val="tx1"/>
            </w14:solidFill>
          </w14:textFill>
        </w:rPr>
      </w:pPr>
      <w:r>
        <w:rPr>
          <w:rFonts w:hint="eastAsia" w:ascii="仿宋_GB2312" w:hAnsi="仿宋_GB2312" w:eastAsia="仿宋_GB2312" w:cs="仿宋_GB2312"/>
          <w:b/>
          <w:bCs/>
          <w:color w:val="000000" w:themeColor="text1"/>
          <w:szCs w:val="32"/>
          <w14:textFill>
            <w14:solidFill>
              <w14:schemeClr w14:val="tx1"/>
            </w14:solidFill>
          </w14:textFill>
        </w:rPr>
        <w:t>重大科技成果十：重大科技基础设施取得系列国际领先成果——</w:t>
      </w:r>
    </w:p>
    <w:p>
      <w:pPr>
        <w:keepNext w:val="0"/>
        <w:keepLines w:val="0"/>
        <w:pageBreakBefore w:val="0"/>
        <w:kinsoku/>
        <w:wordWrap/>
        <w:overflowPunct/>
        <w:topLinePunct w:val="0"/>
        <w:autoSpaceDE/>
        <w:autoSpaceDN/>
        <w:bidi w:val="0"/>
        <w:adjustRightInd/>
        <w:snapToGrid/>
        <w:spacing w:after="120" w:line="560" w:lineRule="exact"/>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 w:eastAsia="zh-CN"/>
        </w:rPr>
        <w:t>【</w:t>
      </w:r>
      <w:r>
        <w:rPr>
          <w:rFonts w:hint="eastAsia" w:ascii="仿宋_GB2312" w:hAnsi="仿宋_GB2312" w:eastAsia="仿宋_GB2312" w:cs="仿宋_GB2312"/>
          <w:b/>
          <w:bCs/>
          <w:sz w:val="32"/>
          <w:szCs w:val="32"/>
          <w:lang w:val="en-US" w:eastAsia="zh-CN"/>
        </w:rPr>
        <w:t>发布单位</w:t>
      </w:r>
      <w:r>
        <w:rPr>
          <w:rFonts w:hint="eastAsia" w:ascii="仿宋_GB2312" w:hAnsi="仿宋_GB2312" w:eastAsia="仿宋_GB2312" w:cs="仿宋_GB2312"/>
          <w:b/>
          <w:bCs/>
          <w:sz w:val="32"/>
          <w:szCs w:val="32"/>
          <w:lang w:val="en" w:eastAsia="zh-CN"/>
        </w:rPr>
        <w:t>】</w:t>
      </w:r>
      <w:r>
        <w:rPr>
          <w:rFonts w:hint="eastAsia" w:ascii="仿宋_GB2312" w:hAnsi="仿宋_GB2312" w:eastAsia="仿宋_GB2312" w:cs="仿宋_GB2312"/>
          <w:b/>
          <w:bCs/>
          <w:sz w:val="32"/>
          <w:szCs w:val="32"/>
        </w:rPr>
        <w:t>国家发展改革委、科技部、国家自然科学基金委、中国科学院国家天文台、中国科学院高能物理研究所、中国科学院合肥物质科学研究院</w:t>
      </w:r>
    </w:p>
    <w:p>
      <w:pPr>
        <w:pStyle w:val="10"/>
        <w:keepNext w:val="0"/>
        <w:keepLines w:val="0"/>
        <w:pageBreakBefore w:val="0"/>
        <w:kinsoku/>
        <w:wordWrap/>
        <w:overflowPunct/>
        <w:topLinePunct w:val="0"/>
        <w:autoSpaceDE/>
        <w:autoSpaceDN/>
        <w:bidi w:val="0"/>
        <w:adjustRightInd/>
        <w:snapToGrid/>
        <w:spacing w:line="560" w:lineRule="exact"/>
        <w:ind w:left="0" w:leftChars="0" w:firstLine="0" w:firstLineChars="0"/>
        <w:rPr>
          <w:rFonts w:hint="eastAsia" w:ascii="仿宋_GB2312" w:hAnsi="仿宋_GB2312" w:eastAsia="仿宋_GB2312" w:cs="仿宋_GB2312"/>
          <w:color w:val="000000" w:themeColor="text1"/>
          <w:sz w:val="32"/>
          <w:szCs w:val="32"/>
          <w:lang w:val="en" w:eastAsia="zh-CN"/>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60" w:lineRule="exact"/>
        <w:ind w:firstLine="321" w:firstLineChars="100"/>
        <w:rPr>
          <w:rFonts w:hint="eastAsia" w:ascii="仿宋_GB2312" w:hAnsi="仿宋_GB2312" w:eastAsia="仿宋_GB2312" w:cs="仿宋_GB2312"/>
          <w:b/>
          <w:bCs/>
          <w:color w:val="000000" w:themeColor="text1"/>
          <w:szCs w:val="32"/>
          <w:lang w:val="en"/>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探索太空奥秘——FAST首次探测</w:t>
      </w:r>
      <w:r>
        <w:rPr>
          <w:rFonts w:hint="eastAsia" w:ascii="仿宋_GB2312" w:hAnsi="仿宋_GB2312" w:eastAsia="仿宋_GB2312" w:cs="仿宋_GB2312"/>
          <w:b/>
          <w:bCs/>
          <w:color w:val="000000" w:themeColor="text1"/>
          <w:sz w:val="32"/>
          <w:szCs w:val="32"/>
          <w:lang w:val="en"/>
          <w14:textFill>
            <w14:solidFill>
              <w14:schemeClr w14:val="tx1"/>
            </w14:solidFill>
          </w14:textFill>
        </w:rPr>
        <w:t>迄今最短轨道周期脉冲星双星系统</w:t>
      </w:r>
    </w:p>
    <w:p>
      <w:pPr>
        <w:pStyle w:val="3"/>
        <w:keepNext w:val="0"/>
        <w:keepLines w:val="0"/>
        <w:pageBreakBefore w:val="0"/>
        <w:kinsoku/>
        <w:wordWrap/>
        <w:overflowPunct/>
        <w:topLinePunct w:val="0"/>
        <w:autoSpaceDE/>
        <w:autoSpaceDN/>
        <w:bidi w:val="0"/>
        <w:adjustRightInd/>
        <w:snapToGrid/>
        <w:spacing w:line="560" w:lineRule="exact"/>
        <w:ind w:firstLine="640" w:firstLineChars="200"/>
        <w:rPr>
          <w:rFonts w:hint="eastAsia" w:ascii="仿宋_GB2312" w:hAnsi="仿宋_GB2312" w:eastAsia="仿宋_GB2312" w:cs="仿宋_GB2312"/>
          <w:color w:val="000000" w:themeColor="text1"/>
          <w:szCs w:val="32"/>
          <w14:textFill>
            <w14:solidFill>
              <w14:schemeClr w14:val="tx1"/>
            </w14:solidFill>
          </w14:textFill>
        </w:rPr>
      </w:pPr>
      <w:r>
        <w:rPr>
          <w:rFonts w:hint="eastAsia" w:ascii="仿宋_GB2312" w:hAnsi="仿宋_GB2312" w:eastAsia="仿宋_GB2312" w:cs="仿宋_GB2312"/>
          <w:color w:val="000000" w:themeColor="text1"/>
          <w:szCs w:val="32"/>
          <w14:textFill>
            <w14:solidFill>
              <w14:schemeClr w14:val="tx1"/>
            </w14:solidFill>
          </w14:textFill>
        </w:rPr>
        <w:t>中国科学院国家天文台科研团队</w:t>
      </w:r>
      <w:r>
        <w:rPr>
          <w:rFonts w:hint="eastAsia" w:ascii="仿宋_GB2312" w:hAnsi="仿宋_GB2312" w:eastAsia="仿宋_GB2312" w:cs="仿宋_GB2312"/>
          <w:color w:val="000000" w:themeColor="text1"/>
          <w:szCs w:val="32"/>
          <w:lang w:val="en"/>
          <w14:textFill>
            <w14:solidFill>
              <w14:schemeClr w14:val="tx1"/>
            </w14:solidFill>
          </w14:textFill>
        </w:rPr>
        <w:t>基于“中国天眼”的超高灵敏度和超强探测能力，首次探测到迄今最短轨道周期脉冲星双星系统，</w:t>
      </w:r>
      <w:r>
        <w:rPr>
          <w:rFonts w:hint="eastAsia" w:ascii="仿宋_GB2312" w:hAnsi="仿宋_GB2312" w:eastAsia="仿宋_GB2312" w:cs="仿宋_GB2312"/>
          <w:color w:val="000000" w:themeColor="text1"/>
          <w:szCs w:val="32"/>
          <w14:textFill>
            <w14:solidFill>
              <w14:schemeClr w14:val="tx1"/>
            </w14:solidFill>
          </w14:textFill>
        </w:rPr>
        <w:t>同时观测到双星演化过程的中间态，这一重大发现</w:t>
      </w:r>
      <w:r>
        <w:rPr>
          <w:rFonts w:hint="eastAsia" w:ascii="仿宋_GB2312" w:hAnsi="仿宋_GB2312" w:eastAsia="仿宋_GB2312" w:cs="仿宋_GB2312"/>
          <w:color w:val="000000" w:themeColor="text1"/>
          <w:szCs w:val="32"/>
          <w:lang w:val="en"/>
          <w14:textFill>
            <w14:solidFill>
              <w14:schemeClr w14:val="tx1"/>
            </w14:solidFill>
          </w14:textFill>
        </w:rPr>
        <w:t>为脉冲星双星演化理论提供了直接证据</w:t>
      </w:r>
      <w:r>
        <w:rPr>
          <w:rFonts w:hint="eastAsia" w:ascii="仿宋_GB2312" w:hAnsi="仿宋_GB2312" w:eastAsia="仿宋_GB2312" w:cs="仿宋_GB2312"/>
          <w:color w:val="000000" w:themeColor="text1"/>
          <w:szCs w:val="32"/>
          <w14:textFill>
            <w14:solidFill>
              <w14:schemeClr w14:val="tx1"/>
            </w14:solidFill>
          </w14:textFill>
        </w:rPr>
        <w:t>。</w:t>
      </w:r>
    </w:p>
    <w:p>
      <w:pPr>
        <w:pStyle w:val="3"/>
        <w:keepNext w:val="0"/>
        <w:keepLines w:val="0"/>
        <w:pageBreakBefore w:val="0"/>
        <w:kinsoku/>
        <w:wordWrap/>
        <w:overflowPunct/>
        <w:topLinePunct w:val="0"/>
        <w:autoSpaceDE/>
        <w:autoSpaceDN/>
        <w:bidi w:val="0"/>
        <w:adjustRightInd/>
        <w:snapToGrid/>
        <w:spacing w:line="560" w:lineRule="exact"/>
        <w:ind w:firstLine="0" w:firstLineChars="0"/>
        <w:rPr>
          <w:rFonts w:hint="eastAsia" w:ascii="仿宋_GB2312" w:hAnsi="仿宋_GB2312" w:eastAsia="仿宋_GB2312" w:cs="仿宋_GB2312"/>
          <w:b/>
          <w:bCs/>
          <w:color w:val="000000" w:themeColor="text1"/>
          <w:szCs w:val="32"/>
          <w14:textFill>
            <w14:solidFill>
              <w14:schemeClr w14:val="tx1"/>
            </w14:solidFill>
          </w14:textFill>
        </w:rPr>
      </w:pPr>
    </w:p>
    <w:p>
      <w:pPr>
        <w:pStyle w:val="3"/>
        <w:keepNext w:val="0"/>
        <w:keepLines w:val="0"/>
        <w:pageBreakBefore w:val="0"/>
        <w:kinsoku/>
        <w:wordWrap/>
        <w:overflowPunct/>
        <w:topLinePunct w:val="0"/>
        <w:autoSpaceDE/>
        <w:autoSpaceDN/>
        <w:bidi w:val="0"/>
        <w:adjustRightInd/>
        <w:snapToGrid/>
        <w:spacing w:line="560" w:lineRule="exact"/>
        <w:ind w:firstLine="643"/>
        <w:rPr>
          <w:rFonts w:hint="eastAsia" w:ascii="仿宋_GB2312" w:hAnsi="仿宋_GB2312" w:eastAsia="仿宋_GB2312" w:cs="仿宋_GB2312"/>
          <w:b/>
          <w:bCs/>
          <w:color w:val="000000" w:themeColor="text1"/>
          <w:szCs w:val="32"/>
          <w14:textFill>
            <w14:solidFill>
              <w14:schemeClr w14:val="tx1"/>
            </w14:solidFill>
          </w14:textFill>
        </w:rPr>
      </w:pPr>
      <w:r>
        <w:rPr>
          <w:rFonts w:hint="eastAsia" w:ascii="仿宋_GB2312" w:hAnsi="仿宋_GB2312" w:eastAsia="仿宋_GB2312" w:cs="仿宋_GB2312"/>
          <w:b/>
          <w:bCs/>
          <w:color w:val="000000" w:themeColor="text1"/>
          <w:szCs w:val="32"/>
          <w14:textFill>
            <w14:solidFill>
              <w14:schemeClr w14:val="tx1"/>
            </w14:solidFill>
          </w14:textFill>
        </w:rPr>
        <w:t>捕捉宇宙信使——“拉索”发现史上最亮伽马暴十万亿电子伏特光子</w:t>
      </w:r>
    </w:p>
    <w:p>
      <w:pPr>
        <w:pStyle w:val="3"/>
        <w:keepNext w:val="0"/>
        <w:keepLines w:val="0"/>
        <w:pageBreakBefore w:val="0"/>
        <w:kinsoku/>
        <w:wordWrap/>
        <w:overflowPunct/>
        <w:topLinePunct w:val="0"/>
        <w:autoSpaceDE/>
        <w:autoSpaceDN/>
        <w:bidi w:val="0"/>
        <w:adjustRightInd/>
        <w:snapToGrid/>
        <w:spacing w:line="560" w:lineRule="exact"/>
        <w:ind w:firstLine="640"/>
        <w:rPr>
          <w:rFonts w:hint="eastAsia" w:ascii="仿宋_GB2312" w:hAnsi="仿宋_GB2312" w:eastAsia="仿宋_GB2312" w:cs="仿宋_GB2312"/>
          <w:color w:val="000000" w:themeColor="text1"/>
          <w:szCs w:val="32"/>
          <w14:textFill>
            <w14:solidFill>
              <w14:schemeClr w14:val="tx1"/>
            </w14:solidFill>
          </w14:textFill>
        </w:rPr>
      </w:pPr>
      <w:r>
        <w:rPr>
          <w:rFonts w:hint="eastAsia" w:ascii="仿宋_GB2312" w:hAnsi="仿宋_GB2312" w:eastAsia="仿宋_GB2312" w:cs="仿宋_GB2312"/>
          <w:color w:val="000000" w:themeColor="text1"/>
          <w:szCs w:val="32"/>
          <w14:textFill>
            <w14:solidFill>
              <w14:schemeClr w14:val="tx1"/>
            </w14:solidFill>
          </w14:textFill>
        </w:rPr>
        <w:t>伽马暴是宇宙中最剧烈的天体爆炸现象，中国科学院高能物理研究所科研团队基于高海拔宇宙线观测站超高灵敏探测系统，探测到史上最亮伽马暴，为探索宇宙起源注入了全新的活力。</w:t>
      </w:r>
    </w:p>
    <w:p>
      <w:pPr>
        <w:keepNext w:val="0"/>
        <w:keepLines w:val="0"/>
        <w:pageBreakBefore w:val="0"/>
        <w:kinsoku/>
        <w:wordWrap/>
        <w:overflowPunct/>
        <w:topLinePunct w:val="0"/>
        <w:autoSpaceDE/>
        <w:autoSpaceDN/>
        <w:bidi w:val="0"/>
        <w:adjustRightInd/>
        <w:snapToGrid/>
        <w:spacing w:line="560" w:lineRule="exact"/>
        <w:rPr>
          <w:rFonts w:hint="eastAsia"/>
        </w:rPr>
      </w:pPr>
    </w:p>
    <w:p>
      <w:pPr>
        <w:pStyle w:val="3"/>
        <w:keepNext w:val="0"/>
        <w:keepLines w:val="0"/>
        <w:pageBreakBefore w:val="0"/>
        <w:kinsoku/>
        <w:wordWrap/>
        <w:overflowPunct/>
        <w:topLinePunct w:val="0"/>
        <w:autoSpaceDE/>
        <w:autoSpaceDN/>
        <w:bidi w:val="0"/>
        <w:adjustRightInd/>
        <w:snapToGrid/>
        <w:spacing w:line="560" w:lineRule="exact"/>
        <w:ind w:firstLine="643"/>
        <w:rPr>
          <w:rFonts w:hint="eastAsia" w:ascii="仿宋_GB2312" w:hAnsi="仿宋_GB2312" w:eastAsia="仿宋_GB2312" w:cs="仿宋_GB2312"/>
          <w:b/>
          <w:bCs/>
          <w:color w:val="000000" w:themeColor="text1"/>
          <w:szCs w:val="32"/>
          <w14:textFill>
            <w14:solidFill>
              <w14:schemeClr w14:val="tx1"/>
            </w14:solidFill>
          </w14:textFill>
        </w:rPr>
      </w:pPr>
      <w:r>
        <w:rPr>
          <w:rFonts w:hint="eastAsia" w:ascii="仿宋_GB2312" w:hAnsi="仿宋_GB2312" w:eastAsia="仿宋_GB2312" w:cs="仿宋_GB2312"/>
          <w:b/>
          <w:bCs/>
          <w:color w:val="000000" w:themeColor="text1"/>
          <w:szCs w:val="32"/>
          <w14:textFill>
            <w14:solidFill>
              <w14:schemeClr w14:val="tx1"/>
            </w14:solidFill>
          </w14:textFill>
        </w:rPr>
        <w:t>未来能源之源——EAST实现世界上最长时间可重复的高约束模等离子体运行</w:t>
      </w:r>
    </w:p>
    <w:p>
      <w:pPr>
        <w:pStyle w:val="3"/>
        <w:keepNext w:val="0"/>
        <w:keepLines w:val="0"/>
        <w:pageBreakBefore w:val="0"/>
        <w:kinsoku/>
        <w:wordWrap/>
        <w:overflowPunct/>
        <w:topLinePunct w:val="0"/>
        <w:autoSpaceDE/>
        <w:autoSpaceDN/>
        <w:bidi w:val="0"/>
        <w:adjustRightInd/>
        <w:snapToGrid/>
        <w:spacing w:line="560" w:lineRule="exact"/>
        <w:ind w:firstLine="640"/>
        <w:rPr>
          <w:rFonts w:hint="eastAsia" w:ascii="仿宋_GB2312" w:hAnsi="仿宋_GB2312" w:eastAsia="仿宋_GB2312" w:cs="仿宋_GB2312"/>
          <w:color w:val="000000" w:themeColor="text1"/>
          <w:szCs w:val="32"/>
          <w14:textFill>
            <w14:solidFill>
              <w14:schemeClr w14:val="tx1"/>
            </w14:solidFill>
          </w14:textFill>
        </w:rPr>
      </w:pPr>
      <w:r>
        <w:rPr>
          <w:rFonts w:hint="eastAsia" w:ascii="仿宋_GB2312" w:hAnsi="仿宋_GB2312" w:eastAsia="仿宋_GB2312" w:cs="仿宋_GB2312"/>
          <w:color w:val="000000" w:themeColor="text1"/>
          <w:szCs w:val="32"/>
          <w14:textFill>
            <w14:solidFill>
              <w14:schemeClr w14:val="tx1"/>
            </w14:solidFill>
          </w14:textFill>
        </w:rPr>
        <w:t>中国科学院磁约束核聚变大科学工程团队基于全超导托卡马克核聚变实验装置，实现了世界上最长时间可重复的高约束模等离子体运行，引领国际磁约束聚变研究，为人类开发利用清洁低碳 安全高效核聚变能源奠定了坚实的基础。</w:t>
      </w:r>
    </w:p>
    <w:p>
      <w:pPr>
        <w:pStyle w:val="3"/>
        <w:keepNext w:val="0"/>
        <w:keepLines w:val="0"/>
        <w:pageBreakBefore w:val="0"/>
        <w:kinsoku/>
        <w:wordWrap/>
        <w:overflowPunct/>
        <w:topLinePunct w:val="0"/>
        <w:autoSpaceDE/>
        <w:autoSpaceDN/>
        <w:bidi w:val="0"/>
        <w:adjustRightInd/>
        <w:snapToGrid/>
        <w:spacing w:line="560" w:lineRule="exact"/>
        <w:ind w:firstLine="640"/>
        <w:rPr>
          <w:rFonts w:hint="eastAsia" w:ascii="仿宋_GB2312" w:hAnsi="仿宋_GB2312" w:eastAsia="仿宋_GB2312" w:cs="仿宋_GB2312"/>
          <w:color w:val="000000" w:themeColor="text1"/>
          <w:szCs w:val="32"/>
          <w14:textFill>
            <w14:solidFill>
              <w14:schemeClr w14:val="tx1"/>
            </w14:solidFill>
          </w14:textFill>
        </w:rPr>
      </w:pPr>
      <w:r>
        <w:rPr>
          <w:rFonts w:hint="eastAsia" w:ascii="仿宋_GB2312" w:hAnsi="仿宋_GB2312" w:eastAsia="仿宋_GB2312" w:cs="仿宋_GB2312"/>
          <w:color w:val="000000" w:themeColor="text1"/>
          <w:szCs w:val="32"/>
          <w14:textFill>
            <w14:solidFill>
              <w14:schemeClr w14:val="tx1"/>
            </w14:solidFill>
          </w14:textFill>
        </w:rPr>
        <w:t>科技创新，开放合作，让我们携手共进，建设更加美好的世界！</w:t>
      </w: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[字幕]创新：建设更加美好的世界</w:t>
      </w:r>
    </w:p>
    <w:p>
      <w:pPr>
        <w:keepNext w:val="0"/>
        <w:keepLines w:val="0"/>
        <w:pageBreakBefore w:val="0"/>
        <w:kinsoku/>
        <w:wordWrap/>
        <w:overflowPunct/>
        <w:topLinePunct w:val="0"/>
        <w:autoSpaceDE/>
        <w:autoSpaceDN/>
        <w:bidi w:val="0"/>
        <w:adjustRightInd/>
        <w:snapToGrid/>
        <w:spacing w:line="560" w:lineRule="exact"/>
        <w:ind w:firstLine="643" w:firstLineChars="200"/>
        <w:rPr>
          <w:rFonts w:hint="eastAsia" w:ascii="仿宋_GB2312" w:hAnsi="仿宋_GB2312" w:eastAsia="仿宋_GB2312" w:cs="仿宋_GB2312"/>
          <w:b/>
          <w:bCs/>
          <w:color w:val="000000" w:themeColor="text1"/>
          <w:sz w:val="32"/>
          <w:szCs w:val="32"/>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60" w:lineRule="exact"/>
        <w:rPr>
          <w:rFonts w:hint="eastAsia" w:ascii="仿宋_GB2312" w:hAnsi="仿宋_GB2312" w:eastAsia="仿宋_GB2312" w:cs="仿宋_GB2312"/>
          <w:color w:val="000000" w:themeColor="text1"/>
          <w:sz w:val="32"/>
          <w:szCs w:val="32"/>
          <w14:textFill>
            <w14:solidFill>
              <w14:schemeClr w14:val="tx1"/>
            </w14:solidFill>
          </w14:textFill>
        </w:rPr>
      </w:pPr>
    </w:p>
    <w:sectPr>
      <w:footerReference r:id="rId3" w:type="default"/>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FD6216DA-79D9-5A33-3C65-2B668D8DA2F7}"/>
  </w:font>
  <w:font w:name="宋体">
    <w:panose1 w:val="02010600030101010101"/>
    <w:charset w:val="86"/>
    <w:family w:val="auto"/>
    <w:pitch w:val="default"/>
    <w:sig w:usb0="00000003" w:usb1="288F0000" w:usb2="00000006" w:usb3="00000000" w:csb0="00040001" w:csb1="00000000"/>
    <w:embedRegular r:id="rId2" w:fontKey="{21FA1AC3-3056-D0AC-3C65-2B667EDAE0B5}"/>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panose1 w:val="020F0702030404030204"/>
    <w:charset w:val="00"/>
    <w:family w:val="swiss"/>
    <w:pitch w:val="default"/>
    <w:sig w:usb0="E10002FF" w:usb1="4000ACFF" w:usb2="00000009" w:usb3="00000000" w:csb0="2000019F" w:csb1="00000000"/>
  </w:font>
  <w:font w:name="仿宋_GB2312">
    <w:panose1 w:val="02010609030101010101"/>
    <w:charset w:val="86"/>
    <w:family w:val="modern"/>
    <w:pitch w:val="default"/>
    <w:sig w:usb0="00000001" w:usb1="080E0000" w:usb2="00000000" w:usb3="00000000" w:csb0="00040000" w:csb1="00000000"/>
    <w:embedRegular r:id="rId3" w:fontKey="{E09BA60D-EBF5-5B7B-3C65-2B66C591519B}"/>
  </w:font>
  <w:font w:name="Arial Unicode MS">
    <w:panose1 w:val="020B0604020202020204"/>
    <w:charset w:val="86"/>
    <w:family w:val="roman"/>
    <w:pitch w:val="default"/>
    <w:sig w:usb0="FFFFFFFF" w:usb1="E9FFFFFF" w:usb2="0000003F" w:usb3="00000000" w:csb0="603F01FF" w:csb1="FFFF0000"/>
  </w:font>
  <w:font w:name="方正小标宋简体">
    <w:panose1 w:val="03000509000000000000"/>
    <w:charset w:val="86"/>
    <w:family w:val="auto"/>
    <w:pitch w:val="default"/>
    <w:sig w:usb0="00000001" w:usb1="080E0000" w:usb2="00000000" w:usb3="00000000" w:csb0="00040000" w:csb1="00000000"/>
    <w:embedRegular r:id="rId4" w:fontKey="{4B443C4F-8508-8211-3C65-2B66C1AFFAC3}"/>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tabs>
        <w:tab w:val="clear" w:pos="4153"/>
        <w:tab w:val="clear" w:pos="8306"/>
      </w:tabs>
    </w:pPr>
    <w: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_x0000_s1025"/>
              <wp:cNvGraphicFramePr/>
              <a:graphic xmlns:a="http://schemas.openxmlformats.org/drawingml/2006/main">
                <a:graphicData uri="http://schemas.microsoft.com/office/word/2010/wordprocessingShape">
                  <wps:wsp>
                    <wps:cNvSpPr/>
                    <wps:spPr>
                      <a:xfrm>
                        <a:off x="0" y="0"/>
                        <a:ext cx="1828800" cy="1828800"/>
                      </a:xfrm>
                      <a:prstGeom prst="rect">
                        <a:avLst/>
                      </a:prstGeom>
                    </wps:spPr>
                    <wps:txbx>
                      <w:txbxContent>
                        <w:p>
                          <w:pPr>
                            <w:pStyle w:val="5"/>
                            <w:tabs>
                              <w:tab w:val="clear" w:pos="4153"/>
                              <w:tab w:val="clear" w:pos="8306"/>
                            </w:tabs>
                          </w:pPr>
                          <w:r>
                            <w:fldChar w:fldCharType="begin"/>
                          </w:r>
                          <w:r>
                            <w:instrText xml:space="preserve"> PAGE  \* MERGEFORMAT </w:instrText>
                          </w:r>
                          <w:r>
                            <w:fldChar w:fldCharType="separate"/>
                          </w:r>
                          <w:r>
                            <w:t>12</w:t>
                          </w:r>
                          <w:r>
                            <w:fldChar w:fldCharType="end"/>
                          </w:r>
                        </w:p>
                        <w:p/>
                      </w:txbxContent>
                    </wps:txbx>
                    <wps:bodyPr rot="0" vert="horz" wrap="square" lIns="91440" tIns="45720" rIns="91440" bIns="45720" anchor="t" anchorCtr="0"/>
                  </wps:wsp>
                </a:graphicData>
              </a:graphic>
            </wp:anchor>
          </w:drawing>
        </mc:Choice>
        <mc:Fallback>
          <w:pict>
            <v:rect id="_x0000_s1025" o:spid="_x0000_s1026" o:spt="1" style="position:absolute;left:0pt;margin-top:0pt;height:144pt;width:144pt;mso-position-horizontal:center;mso-position-horizontal-relative:margin;z-index:251659264;mso-width-relative:page;mso-height-relative:page;" filled="f" stroked="f" coordsize="21600,21600" o:gfxdata="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FgAAAGRycy9QSwECFAAUAAAACACHTuJA2MbPBNMAAAAFAQAADwAAAAAAAAABACAAAAA4AAAAZHJz&#10;L2Rvd25yZXYueG1sUEsBAhQAFAAAAAgAh07iQClBleC6AQAAhgMAAA4AAAAAAAAAAQAgAAAAOAEA&#10;AGRycy9lMm9Eb2MueG1sUEsFBgAAAAAGAAYAWQEAAGQFAAAAAA==&#10;">
              <v:fill on="f" focussize="0,0"/>
              <v:stroke on="f"/>
              <v:imagedata o:title=""/>
              <o:lock v:ext="edit" aspectratio="f"/>
              <v:textbox>
                <w:txbxContent>
                  <w:p>
                    <w:pPr>
                      <w:pStyle w:val="5"/>
                      <w:tabs>
                        <w:tab w:val="clear" w:pos="4153"/>
                        <w:tab w:val="clear" w:pos="8306"/>
                      </w:tabs>
                    </w:pPr>
                    <w:r>
                      <w:fldChar w:fldCharType="begin"/>
                    </w:r>
                    <w:r>
                      <w:instrText xml:space="preserve"> PAGE  \* MERGEFORMAT </w:instrText>
                    </w:r>
                    <w:r>
                      <w:fldChar w:fldCharType="separate"/>
                    </w:r>
                    <w:r>
                      <w:t>12</w:t>
                    </w:r>
                    <w:r>
                      <w:fldChar w:fldCharType="end"/>
                    </w:r>
                  </w:p>
                  <w:p/>
                </w:txbxContent>
              </v:textbox>
            </v:rect>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1"/>
  <w:bordersDoNotSurroundFooter w:val="1"/>
  <w:documentProtection w:enforcement="0"/>
  <w:defaultTabStop w:val="420"/>
  <w:characterSpacingControl w:val="doNotCompress"/>
  <w:compat>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gzMmMyY2QzNzUwNTE3MmQ5YjFiYTcwMTI1ZDgwMzkifQ=="/>
  </w:docVars>
  <w:rsids>
    <w:rsidRoot w:val="00B17E0A"/>
    <w:rsid w:val="00004DD1"/>
    <w:rsid w:val="000354CC"/>
    <w:rsid w:val="00063F3A"/>
    <w:rsid w:val="00072EEC"/>
    <w:rsid w:val="000A26B0"/>
    <w:rsid w:val="000C2A52"/>
    <w:rsid w:val="000C68CD"/>
    <w:rsid w:val="00130906"/>
    <w:rsid w:val="001412DE"/>
    <w:rsid w:val="001465CE"/>
    <w:rsid w:val="001B3575"/>
    <w:rsid w:val="001D1A20"/>
    <w:rsid w:val="00206B1D"/>
    <w:rsid w:val="0022014B"/>
    <w:rsid w:val="00221C4A"/>
    <w:rsid w:val="00234F3E"/>
    <w:rsid w:val="00272E2D"/>
    <w:rsid w:val="00273DDC"/>
    <w:rsid w:val="002740BF"/>
    <w:rsid w:val="002A3B47"/>
    <w:rsid w:val="002B4F56"/>
    <w:rsid w:val="002C2990"/>
    <w:rsid w:val="002C7FBA"/>
    <w:rsid w:val="002F6EFB"/>
    <w:rsid w:val="00342D85"/>
    <w:rsid w:val="0035591F"/>
    <w:rsid w:val="00357A83"/>
    <w:rsid w:val="00373CF0"/>
    <w:rsid w:val="003E55AC"/>
    <w:rsid w:val="003F791C"/>
    <w:rsid w:val="004E72C1"/>
    <w:rsid w:val="00532E08"/>
    <w:rsid w:val="0053773B"/>
    <w:rsid w:val="005D2B27"/>
    <w:rsid w:val="0061394A"/>
    <w:rsid w:val="00642454"/>
    <w:rsid w:val="006A66E4"/>
    <w:rsid w:val="006B6BC1"/>
    <w:rsid w:val="006B7B0E"/>
    <w:rsid w:val="00780A3F"/>
    <w:rsid w:val="00825B05"/>
    <w:rsid w:val="008538D2"/>
    <w:rsid w:val="008E13B7"/>
    <w:rsid w:val="00982FF4"/>
    <w:rsid w:val="009E42B2"/>
    <w:rsid w:val="009F546E"/>
    <w:rsid w:val="00A1543A"/>
    <w:rsid w:val="00A669E4"/>
    <w:rsid w:val="00AF3F66"/>
    <w:rsid w:val="00B17E0A"/>
    <w:rsid w:val="00B21627"/>
    <w:rsid w:val="00B76A57"/>
    <w:rsid w:val="00BA0243"/>
    <w:rsid w:val="00BB7934"/>
    <w:rsid w:val="00BF23B7"/>
    <w:rsid w:val="00BF766C"/>
    <w:rsid w:val="00C44519"/>
    <w:rsid w:val="00C4595C"/>
    <w:rsid w:val="00D036DA"/>
    <w:rsid w:val="00D04809"/>
    <w:rsid w:val="00D566A8"/>
    <w:rsid w:val="00D62D9C"/>
    <w:rsid w:val="00D930F8"/>
    <w:rsid w:val="00DC09EA"/>
    <w:rsid w:val="00DF5AA6"/>
    <w:rsid w:val="00E26EE8"/>
    <w:rsid w:val="00E61440"/>
    <w:rsid w:val="00EA4A00"/>
    <w:rsid w:val="00EE69E5"/>
    <w:rsid w:val="00EF51AC"/>
    <w:rsid w:val="00EF6F71"/>
    <w:rsid w:val="00F6681E"/>
    <w:rsid w:val="00FB22FD"/>
    <w:rsid w:val="00FF7A5E"/>
    <w:rsid w:val="1D8F4261"/>
    <w:rsid w:val="1EA82265"/>
    <w:rsid w:val="29F51284"/>
    <w:rsid w:val="317D1AF0"/>
    <w:rsid w:val="34714E07"/>
    <w:rsid w:val="360B4502"/>
    <w:rsid w:val="4BA02450"/>
    <w:rsid w:val="4E0F0720"/>
    <w:rsid w:val="50C6516F"/>
    <w:rsid w:val="618B5498"/>
    <w:rsid w:val="6DDC7031"/>
    <w:rsid w:val="74E369FF"/>
    <w:rsid w:val="7D021349"/>
    <w:rsid w:val="7FFD51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qFormat="1" w:unhideWhenUsed="0" w:uiPriority="0"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toc 3"/>
    <w:basedOn w:val="1"/>
    <w:next w:val="1"/>
    <w:qFormat/>
    <w:uiPriority w:val="0"/>
    <w:pPr>
      <w:widowControl w:val="0"/>
      <w:spacing w:line="120" w:lineRule="auto"/>
      <w:ind w:left="400" w:leftChars="400"/>
      <w:jc w:val="both"/>
    </w:pPr>
    <w:rPr>
      <w:rFonts w:ascii="Calibri" w:hAnsi="Calibri" w:eastAsia="宋体" w:cs="Times New Roman"/>
      <w:kern w:val="2"/>
      <w:sz w:val="21"/>
      <w:szCs w:val="24"/>
      <w:lang w:val="en-US" w:eastAsia="zh-CN" w:bidi="ar-SA"/>
    </w:rPr>
  </w:style>
  <w:style w:type="paragraph" w:styleId="3">
    <w:name w:val="Body Text"/>
    <w:basedOn w:val="1"/>
    <w:next w:val="1"/>
    <w:link w:val="9"/>
    <w:qFormat/>
    <w:uiPriority w:val="99"/>
    <w:pPr>
      <w:spacing w:line="560" w:lineRule="exact"/>
      <w:ind w:firstLine="200" w:firstLineChars="200"/>
    </w:pPr>
    <w:rPr>
      <w:rFonts w:eastAsia="仿宋_GB2312"/>
      <w:sz w:val="32"/>
    </w:rPr>
  </w:style>
  <w:style w:type="paragraph" w:styleId="4">
    <w:name w:val="Balloon Text"/>
    <w:basedOn w:val="1"/>
    <w:link w:val="13"/>
    <w:semiHidden/>
    <w:unhideWhenUsed/>
    <w:qFormat/>
    <w:uiPriority w:val="99"/>
    <w:rPr>
      <w:sz w:val="18"/>
      <w:szCs w:val="18"/>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000000" w:sz="0" w:space="1"/>
        <w:left w:val="none" w:color="000000" w:sz="0" w:space="4"/>
        <w:bottom w:val="none" w:color="000000" w:sz="0" w:space="1"/>
        <w:right w:val="none" w:color="000000" w:sz="0" w:space="4"/>
      </w:pBdr>
      <w:tabs>
        <w:tab w:val="center" w:pos="4153"/>
        <w:tab w:val="right" w:pos="8306"/>
      </w:tabs>
      <w:snapToGrid w:val="0"/>
    </w:pPr>
    <w:rPr>
      <w:sz w:val="18"/>
    </w:rPr>
  </w:style>
  <w:style w:type="character" w:customStyle="1" w:styleId="9">
    <w:name w:val="正文文本 字符"/>
    <w:link w:val="3"/>
    <w:qFormat/>
    <w:uiPriority w:val="99"/>
    <w:rPr>
      <w:rFonts w:ascii="Calibri" w:hAnsi="Calibri" w:eastAsia="仿宋_GB2312"/>
      <w:kern w:val="2"/>
      <w:sz w:val="32"/>
      <w:szCs w:val="24"/>
    </w:rPr>
  </w:style>
  <w:style w:type="paragraph" w:customStyle="1" w:styleId="10">
    <w:name w:val="目录 31"/>
    <w:basedOn w:val="1"/>
    <w:qFormat/>
    <w:uiPriority w:val="0"/>
    <w:pPr>
      <w:spacing w:line="120" w:lineRule="auto"/>
      <w:ind w:left="400" w:leftChars="400"/>
    </w:pPr>
  </w:style>
  <w:style w:type="paragraph" w:customStyle="1" w:styleId="11">
    <w:name w:val="正文 A"/>
    <w:qFormat/>
    <w:uiPriority w:val="0"/>
    <w:pPr>
      <w:widowControl w:val="0"/>
      <w:jc w:val="both"/>
    </w:pPr>
    <w:rPr>
      <w:rFonts w:hint="eastAsia" w:ascii="Arial Unicode MS" w:hAnsi="Arial Unicode MS" w:eastAsia="Arial Unicode MS" w:cs="Times New Roman"/>
      <w:color w:val="000000"/>
      <w:kern w:val="2"/>
      <w:sz w:val="21"/>
      <w:szCs w:val="21"/>
      <w:lang w:val="en-US" w:eastAsia="zh-CN" w:bidi="ar-SA"/>
    </w:rPr>
  </w:style>
  <w:style w:type="paragraph" w:customStyle="1" w:styleId="12">
    <w:name w:val="修订1"/>
    <w:qFormat/>
    <w:uiPriority w:val="0"/>
    <w:rPr>
      <w:rFonts w:ascii="Calibri" w:hAnsi="Calibri" w:eastAsia="宋体" w:cs="Times New Roman"/>
      <w:kern w:val="2"/>
      <w:sz w:val="21"/>
      <w:szCs w:val="24"/>
      <w:lang w:val="en-US" w:eastAsia="zh-CN" w:bidi="ar-SA"/>
    </w:rPr>
  </w:style>
  <w:style w:type="character" w:customStyle="1" w:styleId="13">
    <w:name w:val="批注框文本 字符"/>
    <w:basedOn w:val="8"/>
    <w:link w:val="4"/>
    <w:semiHidden/>
    <w:qFormat/>
    <w:uiPriority w:val="99"/>
    <w:rPr>
      <w:rFonts w:ascii="Calibri" w:hAnsi="Calibri"/>
      <w:kern w:val="2"/>
      <w:sz w:val="18"/>
      <w:szCs w:val="18"/>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Pages>
  <Words>1532</Words>
  <Characters>8737</Characters>
  <Lines>72</Lines>
  <Paragraphs>20</Paragraphs>
  <TotalTime>11</TotalTime>
  <ScaleCrop>false</ScaleCrop>
  <LinksUpToDate>false</LinksUpToDate>
  <CharactersWithSpaces>10249</CharactersWithSpaces>
  <Application>WPS Office_6.4.0.8550_F1E327BC-269C-435d-A152-05C5408002CA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2024-04-24T17:20:00Z</dcterms:created>
  <dc:creator>zpputuo1@163.com</dc:creator>
  <cp:lastModifiedBy>xll</cp:lastModifiedBy>
  <cp:lastPrinted>2024-04-17T16:41:00Z</cp:lastPrinted>
  <dcterms:modified xsi:type="dcterms:W3CDTF">2024-04-26T16:26:36Z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2052-6.4.0.8550</vt:lpwstr>
  </property>
  <property fmtid="{D5CDD505-2E9C-101B-9397-08002B2CF9AE}" pid="3" name="ICV">
    <vt:lpwstr>C14EECFC38CC411293124C70E4D7E690_13</vt:lpwstr>
  </property>
</Properties>
</file>