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spacing w:line="560" w:lineRule="exact"/>
        <w:jc w:val="center"/>
        <w:rPr>
          <w:rFonts w:eastAsia="方正小标宋_GBK"/>
          <w:color w:val="000000" w:themeColor="text1"/>
          <w:kern w:val="0"/>
          <w:sz w:val="44"/>
          <w:szCs w:val="44"/>
          <w14:textFill>
            <w14:solidFill>
              <w14:schemeClr w14:val="tx1"/>
            </w14:solidFill>
          </w14:textFill>
        </w:rPr>
      </w:pPr>
    </w:p>
    <w:p>
      <w:pPr>
        <w:adjustRightInd w:val="0"/>
        <w:snapToGrid w:val="0"/>
        <w:spacing w:line="560" w:lineRule="exact"/>
        <w:jc w:val="center"/>
        <w:rPr>
          <w:rFonts w:eastAsia="方正小标宋_GBK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eastAsia="方正小标宋_GBK"/>
          <w:color w:val="000000" w:themeColor="text1"/>
          <w:kern w:val="0"/>
          <w:sz w:val="44"/>
          <w:szCs w:val="44"/>
          <w14:textFill>
            <w14:solidFill>
              <w14:schemeClr w14:val="tx1"/>
            </w14:solidFill>
          </w14:textFill>
        </w:rPr>
        <w:t>中关村国际前沿科技大赛情况介绍</w:t>
      </w:r>
    </w:p>
    <w:p>
      <w:pPr>
        <w:spacing w:before="156" w:beforeLines="50" w:line="560" w:lineRule="exact"/>
        <w:rPr>
          <w:rFonts w:eastAsia="仿宋_GB2312"/>
          <w:sz w:val="32"/>
          <w:szCs w:val="32"/>
        </w:rPr>
      </w:pPr>
      <w:bookmarkStart w:id="0" w:name="_GoBack"/>
      <w:bookmarkEnd w:id="0"/>
    </w:p>
    <w:p>
      <w:pPr>
        <w:spacing w:line="560" w:lineRule="exact"/>
        <w:rPr>
          <w:rFonts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女士们、先生们，各位媒体朋友们：</w:t>
      </w:r>
    </w:p>
    <w:p>
      <w:pPr>
        <w:spacing w:line="560" w:lineRule="exact"/>
        <w:ind w:firstLine="640" w:firstLineChars="200"/>
        <w:rPr>
          <w:rFonts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eastAsia="仿宋_GB2312"/>
          <w:sz w:val="32"/>
          <w:szCs w:val="32"/>
        </w:rPr>
        <w:t>大家好。感谢大家拨冗出席本次新闻采访活动。在此，我代表各主办方，向大家汇报一下本届大赛的总体情况。</w:t>
      </w:r>
    </w:p>
    <w:p>
      <w:pPr>
        <w:adjustRightInd w:val="0"/>
        <w:snapToGrid w:val="0"/>
        <w:spacing w:line="560" w:lineRule="exact"/>
        <w:ind w:firstLine="640"/>
        <w:rPr>
          <w:rFonts w:eastAsia="黑体"/>
          <w:sz w:val="32"/>
          <w:szCs w:val="32"/>
        </w:rPr>
      </w:pPr>
      <w:r>
        <w:rPr>
          <w:rFonts w:eastAsia="黑体"/>
          <w:sz w:val="32"/>
          <w:szCs w:val="32"/>
        </w:rPr>
        <w:t>一、大赛背景</w:t>
      </w:r>
    </w:p>
    <w:p>
      <w:pPr>
        <w:autoSpaceDN w:val="0"/>
        <w:spacing w:line="560" w:lineRule="exact"/>
        <w:ind w:firstLine="707" w:firstLineChars="221"/>
        <w:rPr>
          <w:rFonts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eastAsia="仿宋_GB2312"/>
          <w:sz w:val="32"/>
          <w:szCs w:val="32"/>
        </w:rPr>
        <w:t>创新是引领发展的第一动力，是建设现代化经济体系的战略支撑。为积极参与引领全球科技和产业变革的前沿技术竞争，北京市科委、中关村管委会于</w:t>
      </w:r>
      <w:r>
        <w:rPr>
          <w:rFonts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2017年创设中关村国际前沿科技大赛，旨在密切跟踪前沿</w:t>
      </w:r>
      <w:r>
        <w:rPr>
          <w:rFonts w:hint="eastAsia"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技术</w:t>
      </w:r>
      <w:r>
        <w:rPr>
          <w:rFonts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发展趋势，按照“全球邀约、自由探索、公开路演”的方式，遴选拥有国际领先前沿技术的企业和团队，打造高水平前沿科技展示交流平台，有力支撑北京国际科技创新中心和世界领先的科技园区建设。大赛得到了科技部、</w:t>
      </w:r>
      <w:r>
        <w:rPr>
          <w:rFonts w:hint="eastAsia"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工信部、</w:t>
      </w:r>
      <w:r>
        <w:rPr>
          <w:rFonts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中科院等部门的大力支持，组建了由刘忠范、李开复等10余位院士及国际知名专家组成的专家委员会。</w:t>
      </w:r>
    </w:p>
    <w:p>
      <w:pPr>
        <w:pStyle w:val="5"/>
        <w:ind w:left="0" w:leftChars="0" w:firstLine="640"/>
        <w:rPr>
          <w:rFonts w:ascii="Times New Roman" w:hAnsi="Times New Roman" w:eastAsia="黑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黑体"/>
          <w:color w:val="000000" w:themeColor="text1"/>
          <w14:textFill>
            <w14:solidFill>
              <w14:schemeClr w14:val="tx1"/>
            </w14:solidFill>
          </w14:textFill>
        </w:rPr>
        <w:t>二、前沿大赛成效</w:t>
      </w:r>
    </w:p>
    <w:p>
      <w:pPr>
        <w:adjustRightInd w:val="0"/>
        <w:snapToGrid w:val="0"/>
        <w:spacing w:line="560" w:lineRule="exact"/>
        <w:ind w:firstLine="640" w:firstLineChars="200"/>
        <w:rPr>
          <w:rFonts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自2017年启动以来，大赛聚焦生物医药、人工智能、集成电路、大数据与云计算、智能制造与新材料等重点领域，吸引了海内外15000多个前沿科技项目报名参加，600多个优秀初创企业和创业团队脱颖而出，累计为219家优质前沿技术企业提供8亿多元资金支持，并精准提供场景需求对接、投融资、空间落地、创业辅导等系列配套服务。目前，已有15家企业在境内外资本市场上市，61家企业成长为全球独角兽企业。作为中关村论坛的赛事板块，前沿大赛已发展成为对外交流的高水平国际前沿科技竞技平台。</w:t>
      </w:r>
    </w:p>
    <w:p>
      <w:pPr>
        <w:pStyle w:val="5"/>
        <w:ind w:left="0" w:leftChars="0" w:firstLine="640"/>
        <w:rPr>
          <w:rFonts w:ascii="Times New Roman" w:hAnsi="Times New Roman" w:eastAsia="黑体"/>
          <w:color w:val="000000" w:themeColor="text1"/>
          <w:kern w:val="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黑体"/>
          <w:color w:val="000000" w:themeColor="text1"/>
          <w:kern w:val="0"/>
          <w14:textFill>
            <w14:solidFill>
              <w14:schemeClr w14:val="tx1"/>
            </w14:solidFill>
          </w14:textFill>
        </w:rPr>
        <w:t>三、第七届大赛亮点</w:t>
      </w:r>
    </w:p>
    <w:p>
      <w:pPr>
        <w:adjustRightInd w:val="0"/>
        <w:snapToGrid w:val="0"/>
        <w:spacing w:line="560" w:lineRule="exact"/>
        <w:ind w:firstLine="640" w:firstLineChars="200"/>
        <w:rPr>
          <w:rFonts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第七届大赛以“开辟前沿新赛道 培育发展新动能”为主题，2023年5月28日启动，</w:t>
      </w:r>
      <w:r>
        <w:rPr>
          <w:rFonts w:hint="eastAsia" w:eastAsia="仿宋_GB2312"/>
          <w:sz w:val="32"/>
          <w:szCs w:val="32"/>
        </w:rPr>
        <w:t>全球</w:t>
      </w:r>
      <w:r>
        <w:rPr>
          <w:rFonts w:eastAsia="仿宋_GB2312"/>
          <w:sz w:val="32"/>
          <w:szCs w:val="32"/>
        </w:rPr>
        <w:t>8大赛区共征集项目3164项</w:t>
      </w:r>
      <w:r>
        <w:rPr>
          <w:rFonts w:hint="eastAsia" w:eastAsia="仿宋_GB2312"/>
          <w:sz w:val="32"/>
          <w:szCs w:val="32"/>
        </w:rPr>
        <w:t>，按照“全球邀约、同场竞技”的原则，经过</w:t>
      </w:r>
      <w:r>
        <w:rPr>
          <w:rFonts w:eastAsia="仿宋_GB2312"/>
          <w:sz w:val="32"/>
          <w:szCs w:val="32"/>
        </w:rPr>
        <w:t>59场区域赛和领域赛，遴选出生物医药、人工智能、大数据与云计算等10个领域的“中关村前沿科技TOP10”，其中22个优胜项目进入全球总决赛争夺冠亚季军。</w:t>
      </w:r>
    </w:p>
    <w:p>
      <w:pPr>
        <w:suppressAutoHyphens/>
        <w:adjustRightInd w:val="0"/>
        <w:snapToGrid w:val="0"/>
        <w:spacing w:line="560" w:lineRule="exact"/>
        <w:ind w:firstLine="640" w:firstLineChars="200"/>
        <w:rPr>
          <w:rFonts w:eastAsia="楷体_GB2312"/>
          <w:sz w:val="32"/>
          <w:szCs w:val="32"/>
        </w:rPr>
      </w:pPr>
      <w:r>
        <w:rPr>
          <w:rFonts w:eastAsia="仿宋_GB2312"/>
          <w:sz w:val="32"/>
          <w:szCs w:val="32"/>
        </w:rPr>
        <w:t>与往届大赛相比，第七届大赛在全球参与度、</w:t>
      </w:r>
      <w:r>
        <w:rPr>
          <w:rFonts w:hint="eastAsia" w:eastAsia="仿宋_GB2312"/>
          <w:sz w:val="32"/>
          <w:szCs w:val="32"/>
        </w:rPr>
        <w:t>前沿</w:t>
      </w:r>
      <w:r>
        <w:rPr>
          <w:rFonts w:eastAsia="仿宋_GB2312"/>
          <w:sz w:val="32"/>
          <w:szCs w:val="32"/>
        </w:rPr>
        <w:t>引领作用、奖励支持力度和</w:t>
      </w:r>
      <w:r>
        <w:rPr>
          <w:rFonts w:hint="eastAsia" w:eastAsia="仿宋_GB2312"/>
          <w:sz w:val="32"/>
          <w:szCs w:val="32"/>
        </w:rPr>
        <w:t>精准</w:t>
      </w:r>
      <w:r>
        <w:rPr>
          <w:rFonts w:eastAsia="仿宋_GB2312"/>
          <w:sz w:val="32"/>
          <w:szCs w:val="32"/>
        </w:rPr>
        <w:t>服务能力等方面，</w:t>
      </w:r>
      <w:r>
        <w:rPr>
          <w:rFonts w:hint="eastAsia" w:eastAsia="仿宋_GB2312"/>
          <w:sz w:val="32"/>
          <w:szCs w:val="32"/>
        </w:rPr>
        <w:t>有</w:t>
      </w:r>
      <w:r>
        <w:rPr>
          <w:rFonts w:eastAsia="仿宋_GB2312"/>
          <w:sz w:val="32"/>
          <w:szCs w:val="32"/>
        </w:rPr>
        <w:t>“四个提升”。</w:t>
      </w:r>
    </w:p>
    <w:p>
      <w:pPr>
        <w:suppressAutoHyphens/>
        <w:adjustRightInd w:val="0"/>
        <w:snapToGrid w:val="0"/>
        <w:spacing w:line="560" w:lineRule="exact"/>
        <w:ind w:firstLine="640" w:firstLineChars="200"/>
        <w:rPr>
          <w:rFonts w:eastAsia="仿宋_GB2312"/>
          <w:sz w:val="32"/>
          <w:szCs w:val="32"/>
        </w:rPr>
      </w:pPr>
      <w:r>
        <w:rPr>
          <w:rFonts w:eastAsia="楷体_GB2312"/>
          <w:sz w:val="32"/>
          <w:szCs w:val="32"/>
        </w:rPr>
        <w:t>一是全球参与度进一步提升</w:t>
      </w:r>
      <w:r>
        <w:rPr>
          <w:rFonts w:eastAsia="仿宋_GB2312"/>
          <w:sz w:val="32"/>
          <w:szCs w:val="32"/>
        </w:rPr>
        <w:t>。首次设立北美洲、欧洲、亚洲、港澳台等4大境外赛区，覆盖了全球主要高水平科技创新区域，共征集境外74个国家和地区的1280个项目，数量是上届境外项目的4倍，境外项目占比超过40%</w:t>
      </w:r>
      <w:r>
        <w:rPr>
          <w:rFonts w:hint="eastAsia" w:eastAsia="仿宋_GB2312"/>
          <w:sz w:val="32"/>
          <w:szCs w:val="32"/>
        </w:rPr>
        <w:t>。</w:t>
      </w:r>
    </w:p>
    <w:p>
      <w:pPr>
        <w:suppressAutoHyphens/>
        <w:adjustRightInd w:val="0"/>
        <w:snapToGrid w:val="0"/>
        <w:spacing w:line="560" w:lineRule="exact"/>
        <w:ind w:firstLine="640" w:firstLineChars="200"/>
        <w:rPr>
          <w:rFonts w:eastAsia="仿宋_GB2312"/>
          <w:sz w:val="32"/>
          <w:szCs w:val="32"/>
        </w:rPr>
      </w:pPr>
      <w:r>
        <w:rPr>
          <w:rFonts w:eastAsia="楷体_GB2312"/>
          <w:sz w:val="32"/>
          <w:szCs w:val="32"/>
        </w:rPr>
        <w:t>二是前沿</w:t>
      </w:r>
      <w:r>
        <w:rPr>
          <w:rFonts w:hint="eastAsia" w:eastAsia="楷体_GB2312"/>
          <w:sz w:val="32"/>
          <w:szCs w:val="32"/>
        </w:rPr>
        <w:t>技术引领态势</w:t>
      </w:r>
      <w:r>
        <w:rPr>
          <w:rFonts w:eastAsia="楷体_GB2312"/>
          <w:sz w:val="32"/>
          <w:szCs w:val="32"/>
        </w:rPr>
        <w:t>进一步提升</w:t>
      </w:r>
      <w:r>
        <w:rPr>
          <w:rFonts w:eastAsia="仿宋_GB2312"/>
          <w:sz w:val="32"/>
          <w:szCs w:val="32"/>
        </w:rPr>
        <w:t>。围绕发展新质生产力，设置了10个新兴产业领域，其中人工智能</w:t>
      </w:r>
      <w:r>
        <w:rPr>
          <w:rFonts w:hint="eastAsia" w:eastAsia="仿宋_GB2312"/>
          <w:sz w:val="32"/>
          <w:szCs w:val="32"/>
        </w:rPr>
        <w:t>、生物医药</w:t>
      </w:r>
      <w:r>
        <w:rPr>
          <w:rFonts w:eastAsia="仿宋_GB2312"/>
          <w:sz w:val="32"/>
          <w:szCs w:val="32"/>
        </w:rPr>
        <w:t>领域创新活力最强，参赛项目占比超</w:t>
      </w:r>
      <w:r>
        <w:rPr>
          <w:rFonts w:hint="eastAsia" w:eastAsia="仿宋_GB2312"/>
          <w:sz w:val="32"/>
          <w:szCs w:val="32"/>
        </w:rPr>
        <w:t>25</w:t>
      </w:r>
      <w:r>
        <w:rPr>
          <w:rFonts w:eastAsia="仿宋_GB2312"/>
          <w:sz w:val="32"/>
          <w:szCs w:val="32"/>
        </w:rPr>
        <w:t>%。参赛项目涵盖大模型、具身智能、量子信息、光子计算、脑机接口、合成生物、可信AI等将近120多个细分赛道，</w:t>
      </w:r>
      <w:r>
        <w:rPr>
          <w:rFonts w:hint="eastAsia" w:eastAsia="仿宋_GB2312"/>
          <w:sz w:val="32"/>
          <w:szCs w:val="32"/>
        </w:rPr>
        <w:t>涌现出一大批国际领先的</w:t>
      </w:r>
      <w:r>
        <w:rPr>
          <w:rFonts w:eastAsia="仿宋_GB2312"/>
          <w:sz w:val="32"/>
          <w:szCs w:val="32"/>
        </w:rPr>
        <w:t>高水平创新成果。</w:t>
      </w:r>
    </w:p>
    <w:p>
      <w:pPr>
        <w:suppressAutoHyphens/>
        <w:adjustRightInd w:val="0"/>
        <w:snapToGrid w:val="0"/>
        <w:spacing w:line="560" w:lineRule="exact"/>
        <w:ind w:firstLine="640" w:firstLineChars="200"/>
        <w:rPr>
          <w:rFonts w:eastAsia="仿宋_GB2312"/>
          <w:sz w:val="32"/>
          <w:szCs w:val="20"/>
        </w:rPr>
      </w:pPr>
      <w:r>
        <w:rPr>
          <w:rFonts w:eastAsia="楷体_GB2312"/>
          <w:sz w:val="32"/>
          <w:szCs w:val="32"/>
        </w:rPr>
        <w:t>三是奖励</w:t>
      </w:r>
      <w:r>
        <w:rPr>
          <w:rFonts w:hint="eastAsia" w:eastAsia="楷体_GB2312"/>
          <w:sz w:val="32"/>
          <w:szCs w:val="32"/>
        </w:rPr>
        <w:t>扶持方式</w:t>
      </w:r>
      <w:r>
        <w:rPr>
          <w:rFonts w:eastAsia="楷体_GB2312"/>
          <w:sz w:val="32"/>
          <w:szCs w:val="32"/>
        </w:rPr>
        <w:t>进一步提升</w:t>
      </w:r>
      <w:r>
        <w:rPr>
          <w:rFonts w:eastAsia="仿宋_GB2312"/>
          <w:sz w:val="32"/>
          <w:szCs w:val="20"/>
        </w:rPr>
        <w:t>。大赛奖金</w:t>
      </w:r>
      <w:r>
        <w:rPr>
          <w:rFonts w:hint="eastAsia" w:eastAsia="仿宋_GB2312"/>
          <w:sz w:val="32"/>
          <w:szCs w:val="20"/>
        </w:rPr>
        <w:t>赞助</w:t>
      </w:r>
      <w:r>
        <w:rPr>
          <w:rFonts w:eastAsia="仿宋_GB2312"/>
          <w:sz w:val="32"/>
          <w:szCs w:val="20"/>
        </w:rPr>
        <w:t>总额</w:t>
      </w:r>
      <w:r>
        <w:rPr>
          <w:rFonts w:hint="eastAsia" w:eastAsia="仿宋_GB2312"/>
          <w:sz w:val="32"/>
          <w:szCs w:val="20"/>
        </w:rPr>
        <w:t>近40</w:t>
      </w:r>
      <w:r>
        <w:rPr>
          <w:rFonts w:eastAsia="仿宋_GB2312"/>
          <w:sz w:val="32"/>
          <w:szCs w:val="20"/>
        </w:rPr>
        <w:t>0万元</w:t>
      </w:r>
      <w:r>
        <w:rPr>
          <w:rFonts w:hint="eastAsia" w:eastAsia="仿宋_GB2312"/>
          <w:sz w:val="32"/>
          <w:szCs w:val="20"/>
        </w:rPr>
        <w:t>，36家次获得各领域TOP3以上荣誉企业均取得奖金</w:t>
      </w:r>
      <w:r>
        <w:rPr>
          <w:rFonts w:eastAsia="仿宋_GB2312"/>
          <w:sz w:val="32"/>
          <w:szCs w:val="20"/>
        </w:rPr>
        <w:t>，相比去年</w:t>
      </w:r>
      <w:r>
        <w:rPr>
          <w:rFonts w:hint="eastAsia" w:eastAsia="仿宋_GB2312"/>
          <w:sz w:val="32"/>
          <w:szCs w:val="20"/>
        </w:rPr>
        <w:t>均翻了一倍。财政补贴力度和方式也更加丰富多样，通过中小微研发补贴、前沿技术企业专项补贴、空间落地补贴等多种方式对有意愿来京发展的获奖企业进行支持。此外，今年还跟龙头企业、重点实验室等设立了1000万创新基金，拟在获奖企业里挑选10家企业支持其进行技术探索。</w:t>
      </w:r>
    </w:p>
    <w:p>
      <w:pPr>
        <w:spacing w:line="560" w:lineRule="exact"/>
        <w:ind w:firstLine="640" w:firstLineChars="200"/>
        <w:rPr>
          <w:rFonts w:eastAsia="仿宋_GB2312"/>
          <w:sz w:val="32"/>
          <w:szCs w:val="20"/>
        </w:rPr>
      </w:pPr>
      <w:r>
        <w:rPr>
          <w:rFonts w:eastAsia="楷体_GB2312"/>
          <w:sz w:val="32"/>
          <w:szCs w:val="32"/>
        </w:rPr>
        <w:t>四是</w:t>
      </w:r>
      <w:r>
        <w:rPr>
          <w:rFonts w:hint="eastAsia" w:eastAsia="楷体_GB2312"/>
          <w:sz w:val="32"/>
          <w:szCs w:val="32"/>
        </w:rPr>
        <w:t>精准</w:t>
      </w:r>
      <w:r>
        <w:rPr>
          <w:rFonts w:eastAsia="楷体_GB2312"/>
          <w:sz w:val="32"/>
          <w:szCs w:val="32"/>
        </w:rPr>
        <w:t>服务能力进一步提升</w:t>
      </w:r>
      <w:r>
        <w:rPr>
          <w:rFonts w:eastAsia="仿宋_GB2312"/>
          <w:sz w:val="32"/>
          <w:szCs w:val="32"/>
        </w:rPr>
        <w:t>。</w:t>
      </w:r>
      <w:r>
        <w:rPr>
          <w:rFonts w:hint="eastAsia" w:eastAsia="仿宋_GB2312"/>
          <w:sz w:val="32"/>
          <w:szCs w:val="32"/>
        </w:rPr>
        <w:t>建立“接续服务、助推成长”机制，市区协同</w:t>
      </w:r>
      <w:r>
        <w:rPr>
          <w:rFonts w:eastAsia="仿宋_GB2312"/>
          <w:sz w:val="32"/>
          <w:szCs w:val="32"/>
        </w:rPr>
        <w:t>构建</w:t>
      </w:r>
      <w:r>
        <w:rPr>
          <w:rFonts w:hint="eastAsia" w:eastAsia="仿宋_GB2312"/>
          <w:sz w:val="32"/>
          <w:szCs w:val="32"/>
        </w:rPr>
        <w:t>体系</w:t>
      </w:r>
      <w:r>
        <w:rPr>
          <w:rFonts w:eastAsia="仿宋_GB2312"/>
          <w:sz w:val="32"/>
          <w:szCs w:val="32"/>
        </w:rPr>
        <w:t>化的投融资、空间落地、市场对接、政策宣讲等多方位服务体系，</w:t>
      </w:r>
      <w:r>
        <w:rPr>
          <w:rFonts w:hint="eastAsia" w:eastAsia="仿宋_GB2312"/>
          <w:sz w:val="32"/>
          <w:szCs w:val="32"/>
        </w:rPr>
        <w:t>吸引超过500</w:t>
      </w:r>
      <w:r>
        <w:rPr>
          <w:rFonts w:eastAsia="仿宋_GB2312"/>
          <w:sz w:val="32"/>
          <w:szCs w:val="32"/>
        </w:rPr>
        <w:t>家创投</w:t>
      </w:r>
      <w:r>
        <w:rPr>
          <w:rFonts w:hint="eastAsia" w:eastAsia="仿宋_GB2312"/>
          <w:sz w:val="32"/>
          <w:szCs w:val="32"/>
        </w:rPr>
        <w:t>机构线上或线下</w:t>
      </w:r>
      <w:r>
        <w:rPr>
          <w:rFonts w:eastAsia="仿宋_GB2312"/>
          <w:sz w:val="32"/>
          <w:szCs w:val="32"/>
        </w:rPr>
        <w:t>参与</w:t>
      </w:r>
      <w:r>
        <w:rPr>
          <w:rFonts w:hint="eastAsia" w:eastAsia="仿宋_GB2312"/>
          <w:sz w:val="32"/>
          <w:szCs w:val="32"/>
        </w:rPr>
        <w:t>路演</w:t>
      </w:r>
      <w:r>
        <w:rPr>
          <w:rFonts w:eastAsia="仿宋_GB2312"/>
          <w:sz w:val="32"/>
          <w:szCs w:val="32"/>
        </w:rPr>
        <w:t>活动，组织</w:t>
      </w:r>
      <w:r>
        <w:rPr>
          <w:rFonts w:hint="eastAsia" w:eastAsia="仿宋_GB2312"/>
          <w:sz w:val="32"/>
          <w:szCs w:val="32"/>
        </w:rPr>
        <w:t>了</w:t>
      </w:r>
      <w:r>
        <w:rPr>
          <w:rFonts w:eastAsia="仿宋_GB2312"/>
          <w:sz w:val="32"/>
          <w:szCs w:val="32"/>
        </w:rPr>
        <w:t>9场</w:t>
      </w:r>
      <w:r>
        <w:rPr>
          <w:rFonts w:hint="eastAsia" w:eastAsia="仿宋_GB2312"/>
          <w:sz w:val="32"/>
          <w:szCs w:val="32"/>
        </w:rPr>
        <w:t>空间对接</w:t>
      </w:r>
      <w:r>
        <w:rPr>
          <w:rFonts w:eastAsia="仿宋_GB2312"/>
          <w:sz w:val="32"/>
          <w:szCs w:val="32"/>
        </w:rPr>
        <w:t>活动，与35家参赛企业进行了一对一</w:t>
      </w:r>
      <w:r>
        <w:rPr>
          <w:rFonts w:hint="eastAsia" w:eastAsia="仿宋_GB2312"/>
          <w:sz w:val="32"/>
          <w:szCs w:val="32"/>
        </w:rPr>
        <w:t>需求对接</w:t>
      </w:r>
      <w:r>
        <w:rPr>
          <w:rFonts w:eastAsia="仿宋_GB2312"/>
          <w:sz w:val="32"/>
          <w:szCs w:val="32"/>
        </w:rPr>
        <w:t>，</w:t>
      </w:r>
      <w:r>
        <w:rPr>
          <w:rFonts w:hint="eastAsia" w:eastAsia="仿宋_GB2312"/>
          <w:sz w:val="32"/>
          <w:szCs w:val="32"/>
        </w:rPr>
        <w:t>已经有5家企业实现在京落地</w:t>
      </w:r>
      <w:r>
        <w:rPr>
          <w:rFonts w:eastAsia="仿宋_GB2312"/>
          <w:sz w:val="32"/>
          <w:szCs w:val="32"/>
        </w:rPr>
        <w:t>。</w:t>
      </w:r>
    </w:p>
    <w:p>
      <w:pPr>
        <w:adjustRightInd w:val="0"/>
        <w:snapToGrid w:val="0"/>
        <w:spacing w:line="560" w:lineRule="exact"/>
        <w:ind w:firstLine="640" w:firstLineChars="200"/>
        <w:rPr>
          <w:rFonts w:eastAsia="仿宋_GB2312"/>
          <w:sz w:val="32"/>
          <w:szCs w:val="32"/>
        </w:rPr>
      </w:pPr>
      <w:r>
        <w:rPr>
          <w:rFonts w:eastAsia="仿宋_GB2312"/>
          <w:color w:val="000000" w:themeColor="text1"/>
          <w:kern w:val="0"/>
          <w:sz w:val="32"/>
          <w:szCs w:val="32"/>
          <w14:textFill>
            <w14:solidFill>
              <w14:schemeClr w14:val="tx1"/>
            </w14:solidFill>
          </w14:textFill>
        </w:rPr>
        <w:t>关于中关村国际前沿科技大赛的主要情况就介绍到这里</w:t>
      </w:r>
      <w:r>
        <w:rPr>
          <w:rFonts w:eastAsia="仿宋_GB2312"/>
          <w:sz w:val="32"/>
          <w:szCs w:val="32"/>
        </w:rPr>
        <w:t>。谢谢大家！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EC49075E-2102-E0F7-A8D6-2966D87CF726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657CE5B8-A892-FD11-A8D6-2966E3BA7828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F148403C-5763-3468-A8D6-2966C80252FB}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702030404030204"/>
    <w:charset w:val="00"/>
    <w:family w:val="swiss"/>
    <w:pitch w:val="default"/>
    <w:sig w:usb0="E10002FF" w:usb1="4000ACFF" w:usb2="00000009" w:usb3="00000000" w:csb0="2000019F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4" w:fontKey="{B7C5E799-E150-0137-A8D6-2966099146ED}"/>
  </w:font>
  <w:font w:name="Arial">
    <w:panose1 w:val="020B0604020202090204"/>
    <w:charset w:val="00"/>
    <w:family w:val="swiss"/>
    <w:pitch w:val="default"/>
    <w:sig w:usb0="E0000AFF" w:usb1="00007843" w:usb2="00000001" w:usb3="00000000" w:csb0="400001BF" w:csb1="DFF7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AAF1694D-7AEF-CD3A-A8D6-29668E51001A}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2</w:t>
    </w:r>
    <w:r>
      <w:fldChar w:fldCharType="end"/>
    </w:r>
  </w:p>
  <w:p>
    <w:pPr>
      <w:pStyle w:val="8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35C0"/>
    <w:rsid w:val="001156AA"/>
    <w:rsid w:val="0021173A"/>
    <w:rsid w:val="00290769"/>
    <w:rsid w:val="002A339C"/>
    <w:rsid w:val="002A6B7D"/>
    <w:rsid w:val="00343226"/>
    <w:rsid w:val="004435C0"/>
    <w:rsid w:val="00501A32"/>
    <w:rsid w:val="005B6C66"/>
    <w:rsid w:val="00834800"/>
    <w:rsid w:val="00A91082"/>
    <w:rsid w:val="00BB27BF"/>
    <w:rsid w:val="00C07480"/>
    <w:rsid w:val="00C77DE4"/>
    <w:rsid w:val="00CA2865"/>
    <w:rsid w:val="00D01913"/>
    <w:rsid w:val="00DE487F"/>
    <w:rsid w:val="00E55F1F"/>
    <w:rsid w:val="00FF50E6"/>
    <w:rsid w:val="00FF6DD0"/>
    <w:rsid w:val="11D45BBA"/>
    <w:rsid w:val="3DEE8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qFormat="1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qFormat="1" w:unhideWhenUsed="0" w:uiPriority="99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qFormat="1" w:uiPriority="99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4">
    <w:name w:val="heading 1"/>
    <w:basedOn w:val="1"/>
    <w:next w:val="1"/>
    <w:qFormat/>
    <w:uiPriority w:val="9"/>
    <w:pPr>
      <w:spacing w:line="560" w:lineRule="exact"/>
      <w:ind w:firstLine="640" w:firstLineChars="200"/>
      <w:outlineLvl w:val="0"/>
    </w:pPr>
    <w:rPr>
      <w:rFonts w:ascii="黑体" w:hAnsi="黑体" w:eastAsia="黑体"/>
      <w:sz w:val="32"/>
      <w:szCs w:val="32"/>
    </w:rPr>
  </w:style>
  <w:style w:type="paragraph" w:styleId="5">
    <w:name w:val="heading 2"/>
    <w:basedOn w:val="1"/>
    <w:next w:val="1"/>
    <w:qFormat/>
    <w:uiPriority w:val="9"/>
    <w:pPr>
      <w:spacing w:line="560" w:lineRule="exact"/>
      <w:ind w:left="480" w:leftChars="200" w:firstLine="420" w:firstLineChars="200"/>
      <w:outlineLvl w:val="1"/>
    </w:pPr>
    <w:rPr>
      <w:rFonts w:ascii="楷体_GB2312" w:hAnsi="黑体" w:eastAsia="楷体_GB2312"/>
      <w:sz w:val="32"/>
      <w:szCs w:val="32"/>
    </w:rPr>
  </w:style>
  <w:style w:type="paragraph" w:styleId="6">
    <w:name w:val="heading 3"/>
    <w:basedOn w:val="1"/>
    <w:next w:val="1"/>
    <w:link w:val="17"/>
    <w:unhideWhenUsed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index heading"/>
    <w:basedOn w:val="1"/>
    <w:next w:val="3"/>
    <w:qFormat/>
    <w:uiPriority w:val="99"/>
    <w:rPr>
      <w:rFonts w:ascii="Arial" w:hAnsi="Arial"/>
      <w:b/>
    </w:rPr>
  </w:style>
  <w:style w:type="paragraph" w:styleId="3">
    <w:name w:val="index 1"/>
    <w:basedOn w:val="1"/>
    <w:next w:val="1"/>
    <w:unhideWhenUsed/>
    <w:qFormat/>
    <w:uiPriority w:val="0"/>
  </w:style>
  <w:style w:type="paragraph" w:styleId="7">
    <w:name w:val="Balloon Text"/>
    <w:basedOn w:val="1"/>
    <w:link w:val="15"/>
    <w:qFormat/>
    <w:uiPriority w:val="0"/>
    <w:rPr>
      <w:sz w:val="18"/>
      <w:szCs w:val="18"/>
    </w:r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6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qFormat/>
    <w:uiPriority w:val="0"/>
    <w:pPr>
      <w:spacing w:beforeAutospacing="1" w:afterAutospacing="1"/>
      <w:jc w:val="left"/>
    </w:pPr>
    <w:rPr>
      <w:kern w:val="0"/>
      <w:sz w:val="24"/>
    </w:rPr>
  </w:style>
  <w:style w:type="character" w:styleId="13">
    <w:name w:val="HTML Typewriter"/>
    <w:unhideWhenUsed/>
    <w:qFormat/>
    <w:uiPriority w:val="99"/>
    <w:rPr>
      <w:rFonts w:hint="eastAsia" w:ascii="宋体" w:hAnsi="宋体" w:eastAsia="宋体" w:cs="宋体"/>
      <w:sz w:val="24"/>
      <w:szCs w:val="24"/>
    </w:rPr>
  </w:style>
  <w:style w:type="paragraph" w:customStyle="1" w:styleId="14">
    <w:name w:val="列表段落1"/>
    <w:basedOn w:val="1"/>
    <w:qFormat/>
    <w:uiPriority w:val="34"/>
    <w:pPr>
      <w:ind w:firstLine="420" w:firstLineChars="200"/>
    </w:pPr>
  </w:style>
  <w:style w:type="character" w:customStyle="1" w:styleId="15">
    <w:name w:val="批注框文本 字符"/>
    <w:basedOn w:val="12"/>
    <w:link w:val="7"/>
    <w:qFormat/>
    <w:uiPriority w:val="0"/>
    <w:rPr>
      <w:kern w:val="2"/>
      <w:sz w:val="18"/>
      <w:szCs w:val="18"/>
    </w:rPr>
  </w:style>
  <w:style w:type="character" w:customStyle="1" w:styleId="16">
    <w:name w:val="页眉 字符"/>
    <w:basedOn w:val="12"/>
    <w:link w:val="9"/>
    <w:qFormat/>
    <w:uiPriority w:val="0"/>
    <w:rPr>
      <w:kern w:val="2"/>
      <w:sz w:val="18"/>
      <w:szCs w:val="18"/>
    </w:rPr>
  </w:style>
  <w:style w:type="character" w:customStyle="1" w:styleId="17">
    <w:name w:val="标题 3 字符"/>
    <w:basedOn w:val="12"/>
    <w:link w:val="6"/>
    <w:semiHidden/>
    <w:qFormat/>
    <w:uiPriority w:val="0"/>
    <w:rPr>
      <w:b/>
      <w:bCs/>
      <w:kern w:val="2"/>
      <w:sz w:val="32"/>
      <w:szCs w:val="32"/>
    </w:rPr>
  </w:style>
  <w:style w:type="paragraph" w:customStyle="1" w:styleId="18">
    <w:name w:val="修订1"/>
    <w:hidden/>
    <w:semiHidden/>
    <w:qFormat/>
    <w:uiPriority w:val="99"/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212</Words>
  <Characters>1213</Characters>
  <Lines>10</Lines>
  <Paragraphs>2</Paragraphs>
  <TotalTime>5</TotalTime>
  <ScaleCrop>false</ScaleCrop>
  <LinksUpToDate>false</LinksUpToDate>
  <CharactersWithSpaces>1423</CharactersWithSpaces>
  <Application>WPS Office_6.4.0.8550_F1E327BC-269C-435d-A152-05C5408002CA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2024-04-20T15:15:00Z</dcterms:created>
  <dc:creator>Daxia</dc:creator>
  <cp:lastModifiedBy>xll</cp:lastModifiedBy>
  <cp:lastPrinted>2021-09-16T23:15:00Z</cp:lastPrinted>
  <dcterms:modified xsi:type="dcterms:W3CDTF">2024-04-25T12:06:00Z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2052-6.4.0.8550</vt:lpwstr>
  </property>
  <property fmtid="{D5CDD505-2E9C-101B-9397-08002B2CF9AE}" pid="3" name="ICV">
    <vt:lpwstr>DFA01182B51F43B6979BE0CF9C16593A_13</vt:lpwstr>
  </property>
</Properties>
</file>