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黑体" w:hAnsi="黑体" w:eastAsia="黑体"/>
          <w:b w:val="0"/>
          <w:bCs w:val="0"/>
        </w:rPr>
      </w:pPr>
      <w:r>
        <w:rPr>
          <w:rFonts w:hint="eastAsia" w:ascii="黑体" w:hAnsi="黑体" w:eastAsia="黑体"/>
          <w:b w:val="0"/>
          <w:bCs w:val="0"/>
        </w:rPr>
        <w:t>高端制造引领产业迭代升级</w:t>
      </w:r>
    </w:p>
    <w:p>
      <w:pPr>
        <w:spacing w:line="560" w:lineRule="exact"/>
        <w:ind w:firstLine="640" w:firstLineChars="200"/>
        <w:rPr>
          <w:rFonts w:ascii="仿宋" w:hAnsi="仿宋" w:eastAsia="仿宋"/>
        </w:rPr>
      </w:pPr>
      <w:r>
        <w:rPr>
          <w:rFonts w:hint="eastAsia" w:ascii="仿宋" w:hAnsi="仿宋" w:eastAsia="仿宋"/>
          <w:sz w:val="32"/>
          <w:szCs w:val="32"/>
        </w:rPr>
        <w:t>高端制造领域具有技术知识密集、附加值高、成长性好、关联性强、带动性大等特点，是国家核心竞争力的重要组成。中关村论坛前沿科技与未来产业展高端制展区分为智能制造与新材料集群、机器人集群、无人机集群、智能新能源汽车集群与航空航天集群。高端制造将引领产业迭代升级，着力建设先进制造新高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智能制造与新材料集群分为前沿技术及新材料、高端装备及核心部件、数字化及产业赋能三个板块。前沿技术与新材料</w:t>
      </w:r>
      <w:r>
        <w:rPr>
          <w:rFonts w:ascii="仿宋" w:hAnsi="仿宋" w:eastAsia="仿宋"/>
          <w:sz w:val="32"/>
          <w:szCs w:val="32"/>
        </w:rPr>
        <w:t>从材</w:t>
      </w:r>
      <w:r>
        <w:rPr>
          <w:rFonts w:hint="eastAsia" w:ascii="仿宋" w:hAnsi="仿宋" w:eastAsia="仿宋"/>
          <w:sz w:val="32"/>
          <w:szCs w:val="32"/>
        </w:rPr>
        <w:t>板块</w:t>
      </w:r>
      <w:r>
        <w:rPr>
          <w:rFonts w:ascii="仿宋" w:hAnsi="仿宋" w:eastAsia="仿宋"/>
          <w:sz w:val="32"/>
          <w:szCs w:val="32"/>
        </w:rPr>
        <w:t>料高通量制备技术</w:t>
      </w:r>
      <w:r>
        <w:rPr>
          <w:rFonts w:hint="eastAsia" w:ascii="仿宋" w:hAnsi="仿宋" w:eastAsia="仿宋"/>
          <w:sz w:val="32"/>
          <w:szCs w:val="32"/>
        </w:rPr>
        <w:t>、</w:t>
      </w:r>
      <w:r>
        <w:rPr>
          <w:rFonts w:ascii="仿宋" w:hAnsi="仿宋" w:eastAsia="仿宋"/>
          <w:sz w:val="32"/>
          <w:szCs w:val="32"/>
        </w:rPr>
        <w:t>材料高通量表征技术</w:t>
      </w:r>
      <w:r>
        <w:rPr>
          <w:rFonts w:hint="eastAsia" w:ascii="仿宋" w:hAnsi="仿宋" w:eastAsia="仿宋"/>
          <w:sz w:val="32"/>
          <w:szCs w:val="32"/>
        </w:rPr>
        <w:t>、</w:t>
      </w:r>
      <w:r>
        <w:rPr>
          <w:rFonts w:ascii="仿宋" w:hAnsi="仿宋" w:eastAsia="仿宋"/>
          <w:sz w:val="32"/>
          <w:szCs w:val="32"/>
        </w:rPr>
        <w:t>材料大数据技术，全面展示了制造业研发升级的重大突破</w:t>
      </w:r>
      <w:r>
        <w:rPr>
          <w:rFonts w:hint="eastAsia" w:ascii="仿宋" w:hAnsi="仿宋" w:eastAsia="仿宋"/>
          <w:sz w:val="32"/>
          <w:szCs w:val="32"/>
        </w:rPr>
        <w:t>。高端装备及核心部件板块主要包括了各类工业领域的高级智能设备、传感器和各类仪表以及工业装备中的芯片、精密零部件等核心部件，从根本上改进已有的工业生产制造基础。</w:t>
      </w:r>
    </w:p>
    <w:p>
      <w:pPr>
        <w:spacing w:line="560" w:lineRule="exact"/>
        <w:rPr>
          <w:rFonts w:ascii="仿宋" w:hAnsi="仿宋" w:eastAsia="仿宋"/>
          <w:sz w:val="32"/>
          <w:szCs w:val="32"/>
        </w:rPr>
      </w:pPr>
      <w:r>
        <w:rPr>
          <w:rFonts w:hint="eastAsia" w:ascii="仿宋" w:hAnsi="仿宋" w:eastAsia="仿宋"/>
          <w:sz w:val="32"/>
          <w:szCs w:val="32"/>
        </w:rPr>
        <w:t>数字化及产业赋能板块主要包括工业软件、工业互联网平台以及各行业解决方案，智能制造的最终目的是为了各个行业赋能。</w:t>
      </w:r>
    </w:p>
    <w:p>
      <w:pPr>
        <w:pStyle w:val="4"/>
        <w:spacing w:after="0" w:line="560" w:lineRule="exact"/>
        <w:ind w:left="0" w:leftChars="0" w:right="0" w:rightChars="0" w:firstLine="640" w:firstLineChars="200"/>
        <w:rPr>
          <w:rFonts w:ascii="仿宋" w:hAnsi="仿宋" w:eastAsia="仿宋"/>
          <w:sz w:val="32"/>
          <w:szCs w:val="32"/>
        </w:rPr>
      </w:pPr>
      <w:r>
        <w:rPr>
          <w:rFonts w:hint="eastAsia" w:ascii="仿宋" w:hAnsi="仿宋" w:eastAsia="仿宋"/>
          <w:sz w:val="32"/>
          <w:szCs w:val="32"/>
        </w:rPr>
        <w:t>机器人集群以机器人产业协同创新为主线，融合高精尖技术成果的创新线和赋能产业的场景线，筛选优质科技创新成果。仿生机器人未来在服务、工程、安防、医疗等领域的作用不可估量，其核心技术包括人工智能、感知系统、交互系统、工程力学等，可以应用在智能手机、智能汽车等领域，高效能的智能体可极大提升技术储备和反哺现有产业，展区重点展示机器人产业未来前沿技术成果，包含仿人机器人、仿生四足机器人等。</w:t>
      </w:r>
    </w:p>
    <w:p>
      <w:pPr>
        <w:pStyle w:val="4"/>
        <w:spacing w:after="0" w:line="560" w:lineRule="exact"/>
        <w:ind w:left="0" w:leftChars="0" w:right="0" w:rightChars="0" w:firstLine="640" w:firstLineChars="200"/>
        <w:rPr>
          <w:rFonts w:ascii="仿宋" w:hAnsi="仿宋" w:eastAsia="仿宋"/>
          <w:sz w:val="32"/>
          <w:szCs w:val="32"/>
        </w:rPr>
      </w:pPr>
      <w:r>
        <w:rPr>
          <w:rFonts w:hint="eastAsia" w:ascii="仿宋" w:hAnsi="仿宋" w:eastAsia="仿宋"/>
          <w:sz w:val="32"/>
          <w:szCs w:val="32"/>
        </w:rPr>
        <w:t>无人机集群聚集</w:t>
      </w:r>
      <w:r>
        <w:rPr>
          <w:rFonts w:ascii="仿宋" w:hAnsi="仿宋" w:eastAsia="仿宋"/>
          <w:sz w:val="32"/>
          <w:szCs w:val="32"/>
        </w:rPr>
        <w:t>13家优质展商，重点展示智能化、新能源、长航时、大载重、检验检测等20余项优势技术特点，</w:t>
      </w:r>
      <w:r>
        <w:rPr>
          <w:rFonts w:hint="eastAsia" w:ascii="仿宋" w:hAnsi="仿宋" w:eastAsia="仿宋"/>
          <w:sz w:val="32"/>
          <w:szCs w:val="32"/>
        </w:rPr>
        <w:t>适用于</w:t>
      </w:r>
      <w:r>
        <w:rPr>
          <w:rFonts w:ascii="仿宋" w:hAnsi="仿宋" w:eastAsia="仿宋"/>
          <w:sz w:val="32"/>
          <w:szCs w:val="32"/>
        </w:rPr>
        <w:t>应急救援、通讯保障、消防、物资运送、安防巡检等应用场景。模拟体验设备可近距离感受无人驾驭的非凡魅力。现场演示体验让观众直观了解无人机</w:t>
      </w:r>
      <w:r>
        <w:rPr>
          <w:rFonts w:hint="eastAsia" w:ascii="仿宋" w:hAnsi="仿宋" w:eastAsia="仿宋"/>
          <w:sz w:val="32"/>
          <w:szCs w:val="32"/>
        </w:rPr>
        <w:t>在</w:t>
      </w:r>
      <w:r>
        <w:rPr>
          <w:rFonts w:ascii="仿宋" w:hAnsi="仿宋" w:eastAsia="仿宋"/>
          <w:sz w:val="32"/>
          <w:szCs w:val="32"/>
        </w:rPr>
        <w:t>不同场景</w:t>
      </w:r>
      <w:r>
        <w:rPr>
          <w:rFonts w:hint="eastAsia" w:ascii="仿宋" w:hAnsi="仿宋" w:eastAsia="仿宋"/>
          <w:sz w:val="32"/>
          <w:szCs w:val="32"/>
        </w:rPr>
        <w:t>的</w:t>
      </w:r>
      <w:r>
        <w:rPr>
          <w:rFonts w:ascii="仿宋" w:hAnsi="仿宋" w:eastAsia="仿宋"/>
          <w:sz w:val="32"/>
          <w:szCs w:val="32"/>
        </w:rPr>
        <w:t>应用。</w:t>
      </w:r>
      <w:r>
        <w:rPr>
          <w:rFonts w:hint="eastAsia" w:ascii="仿宋" w:hAnsi="仿宋" w:eastAsia="仿宋"/>
          <w:sz w:val="32"/>
          <w:szCs w:val="32"/>
        </w:rPr>
        <w:t>未来将推动无人机技术向远程、</w:t>
      </w:r>
      <w:bookmarkStart w:id="0" w:name="_GoBack"/>
      <w:bookmarkEnd w:id="0"/>
      <w:r>
        <w:rPr>
          <w:rFonts w:hint="eastAsia" w:ascii="仿宋" w:hAnsi="仿宋" w:eastAsia="仿宋"/>
          <w:sz w:val="32"/>
          <w:szCs w:val="32"/>
        </w:rPr>
        <w:t>长航时、大载重方向发展。</w:t>
      </w:r>
    </w:p>
    <w:p>
      <w:pPr>
        <w:pStyle w:val="4"/>
        <w:spacing w:after="0" w:line="560" w:lineRule="exact"/>
        <w:ind w:left="0" w:leftChars="0" w:right="0" w:rightChars="0" w:firstLine="640" w:firstLineChars="200"/>
        <w:rPr>
          <w:rFonts w:ascii="仿宋" w:hAnsi="仿宋" w:eastAsia="仿宋"/>
          <w:sz w:val="32"/>
          <w:szCs w:val="32"/>
        </w:rPr>
      </w:pPr>
      <w:r>
        <w:rPr>
          <w:rFonts w:hint="eastAsia" w:ascii="仿宋" w:hAnsi="仿宋" w:eastAsia="仿宋"/>
          <w:sz w:val="32"/>
          <w:szCs w:val="32"/>
        </w:rPr>
        <w:t>智能新能源汽车集群将推动汽车产业向“电动化、智能化、共享化”</w:t>
      </w:r>
      <w:r>
        <w:rPr>
          <w:rFonts w:ascii="仿宋" w:hAnsi="仿宋" w:eastAsia="仿宋"/>
          <w:sz w:val="32"/>
          <w:szCs w:val="32"/>
        </w:rPr>
        <w:t xml:space="preserve"> 转型发展</w:t>
      </w:r>
      <w:r>
        <w:rPr>
          <w:rFonts w:hint="eastAsia" w:ascii="仿宋" w:hAnsi="仿宋" w:eastAsia="仿宋"/>
          <w:sz w:val="32"/>
          <w:szCs w:val="32"/>
        </w:rPr>
        <w:t>，在车端实现车和路感知数据实时融合。车路协同安全性能提升得到实践证明。在路端定义智能网联汽车标准路口，实现设备深度复用，全面降低基础设施建设成本。在云端搭建数字化全息路口，建立起云控系统对整车的服务能力，支撑企业开展常态化测试。在网端融合</w:t>
      </w:r>
      <w:r>
        <w:rPr>
          <w:rFonts w:ascii="仿宋" w:hAnsi="仿宋" w:eastAsia="仿宋"/>
          <w:sz w:val="32"/>
          <w:szCs w:val="32"/>
        </w:rPr>
        <w:t>5G、C-V2X和EUHT等多种技术 ，并通过EUHT高可靠、低延时技术实现车辆远程驾驶等功能。</w:t>
      </w:r>
      <w:r>
        <w:rPr>
          <w:rFonts w:hint="eastAsia" w:ascii="仿宋" w:hAnsi="仿宋" w:eastAsia="仿宋"/>
          <w:sz w:val="32"/>
          <w:szCs w:val="32"/>
        </w:rPr>
        <w:t>在图端建成高精动态地图平台，在保证安全的同时，实现动态信息众源更新。</w:t>
      </w:r>
    </w:p>
    <w:p>
      <w:pPr>
        <w:pStyle w:val="4"/>
        <w:spacing w:after="0" w:line="560" w:lineRule="exact"/>
        <w:ind w:left="0" w:leftChars="0" w:right="0" w:rightChars="0" w:firstLine="640" w:firstLineChars="200"/>
        <w:rPr>
          <w:rFonts w:ascii="仿宋" w:hAnsi="仿宋" w:eastAsia="仿宋"/>
          <w:sz w:val="32"/>
          <w:szCs w:val="32"/>
        </w:rPr>
      </w:pPr>
      <w:r>
        <w:rPr>
          <w:rFonts w:hint="eastAsia" w:ascii="仿宋" w:hAnsi="仿宋" w:eastAsia="仿宋"/>
          <w:sz w:val="32"/>
          <w:szCs w:val="32"/>
        </w:rPr>
        <w:t>航空航天集群</w:t>
      </w:r>
      <w:r>
        <w:rPr>
          <w:rFonts w:ascii="仿宋" w:hAnsi="仿宋" w:eastAsia="仿宋"/>
          <w:sz w:val="32"/>
          <w:szCs w:val="32"/>
        </w:rPr>
        <w:t>聚集19家商业航天科研院所及优势企业，重点围绕运载火箭、商业卫星、核心部件与系统、空间资源开发等40余项突破性产品与技术进行展示，集中展现我国商业航天领域取得的最新成果。</w:t>
      </w:r>
      <w:r>
        <w:rPr>
          <w:rFonts w:hint="eastAsia" w:ascii="仿宋" w:hAnsi="仿宋" w:eastAsia="仿宋"/>
          <w:sz w:val="32"/>
          <w:szCs w:val="32"/>
        </w:rPr>
        <w:t>随着航天技术的不断发展和航天产业规模的日益扩大，全球商业航天迅速发展并成为推进全球航天产业经济发展的重要动力。</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冬青黑体简体中文">
    <w:panose1 w:val="020B03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7103073"/>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4FA"/>
    <w:rsid w:val="00076026"/>
    <w:rsid w:val="00197550"/>
    <w:rsid w:val="001D0296"/>
    <w:rsid w:val="001D13EB"/>
    <w:rsid w:val="002119A4"/>
    <w:rsid w:val="00320D23"/>
    <w:rsid w:val="00365EE8"/>
    <w:rsid w:val="0038728E"/>
    <w:rsid w:val="003F408B"/>
    <w:rsid w:val="0049780D"/>
    <w:rsid w:val="004F6E94"/>
    <w:rsid w:val="00696477"/>
    <w:rsid w:val="006A76D2"/>
    <w:rsid w:val="006E1966"/>
    <w:rsid w:val="00797827"/>
    <w:rsid w:val="007C77F6"/>
    <w:rsid w:val="007E7F1A"/>
    <w:rsid w:val="0084102C"/>
    <w:rsid w:val="008B44FA"/>
    <w:rsid w:val="0091033A"/>
    <w:rsid w:val="009347CE"/>
    <w:rsid w:val="009463C7"/>
    <w:rsid w:val="00993CEF"/>
    <w:rsid w:val="009F426D"/>
    <w:rsid w:val="00A14637"/>
    <w:rsid w:val="00AA0643"/>
    <w:rsid w:val="00AC6AE1"/>
    <w:rsid w:val="00B62307"/>
    <w:rsid w:val="00D63348"/>
    <w:rsid w:val="00F52D97"/>
    <w:rsid w:val="F1FBF236"/>
    <w:rsid w:val="FE1CD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semiHidden/>
    <w:unhideWhenUsed/>
    <w:uiPriority w:val="99"/>
    <w:pPr>
      <w:jc w:val="left"/>
    </w:pPr>
  </w:style>
  <w:style w:type="paragraph" w:styleId="4">
    <w:name w:val="Block Text"/>
    <w:basedOn w:val="1"/>
    <w:unhideWhenUsed/>
    <w:uiPriority w:val="99"/>
    <w:pPr>
      <w:spacing w:after="120"/>
      <w:ind w:left="1440" w:leftChars="700" w:right="1440" w:rightChars="700"/>
    </w:pPr>
    <w:rPr>
      <w:szCs w:val="24"/>
      <w14:ligatures w14:val="none"/>
    </w:r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semiHidden/>
    <w:unhideWhenUsed/>
    <w:uiPriority w:val="99"/>
    <w:rPr>
      <w:b/>
      <w:bCs/>
    </w:rPr>
  </w:style>
  <w:style w:type="character" w:styleId="10">
    <w:name w:val="annotation reference"/>
    <w:basedOn w:val="9"/>
    <w:semiHidden/>
    <w:unhideWhenUsed/>
    <w:uiPriority w:val="99"/>
    <w:rPr>
      <w:sz w:val="21"/>
      <w:szCs w:val="21"/>
    </w:rPr>
  </w:style>
  <w:style w:type="character" w:customStyle="1" w:styleId="11">
    <w:name w:val="页眉 字符"/>
    <w:basedOn w:val="9"/>
    <w:link w:val="6"/>
    <w:uiPriority w:val="99"/>
    <w:rPr>
      <w:sz w:val="18"/>
      <w:szCs w:val="18"/>
    </w:rPr>
  </w:style>
  <w:style w:type="character" w:customStyle="1" w:styleId="12">
    <w:name w:val="页脚 字符"/>
    <w:basedOn w:val="9"/>
    <w:link w:val="5"/>
    <w:uiPriority w:val="99"/>
    <w:rPr>
      <w:sz w:val="18"/>
      <w:szCs w:val="18"/>
    </w:rPr>
  </w:style>
  <w:style w:type="character" w:customStyle="1" w:styleId="13">
    <w:name w:val="标题 1 字符"/>
    <w:basedOn w:val="9"/>
    <w:link w:val="2"/>
    <w:uiPriority w:val="9"/>
    <w:rPr>
      <w:b/>
      <w:bCs/>
      <w:kern w:val="44"/>
      <w:sz w:val="44"/>
      <w:szCs w:val="44"/>
    </w:rPr>
  </w:style>
  <w:style w:type="paragraph" w:customStyle="1" w:styleId="14">
    <w:name w:val="Revision"/>
    <w:hidden/>
    <w:semiHidden/>
    <w:uiPriority w:val="99"/>
    <w:rPr>
      <w:rFonts w:asciiTheme="minorHAnsi" w:hAnsiTheme="minorHAnsi" w:eastAsiaTheme="minorEastAsia" w:cstheme="minorBidi"/>
      <w:kern w:val="2"/>
      <w:sz w:val="21"/>
      <w:szCs w:val="22"/>
      <w:lang w:val="en-US" w:eastAsia="zh-CN" w:bidi="ar-SA"/>
      <w14:ligatures w14:val="standardContextual"/>
    </w:rPr>
  </w:style>
  <w:style w:type="character" w:customStyle="1" w:styleId="15">
    <w:name w:val="批注文字 字符"/>
    <w:basedOn w:val="9"/>
    <w:link w:val="3"/>
    <w:semiHidden/>
    <w:uiPriority w:val="99"/>
  </w:style>
  <w:style w:type="character" w:customStyle="1" w:styleId="16">
    <w:name w:val="批注主题 字符"/>
    <w:basedOn w:val="15"/>
    <w:link w:val="7"/>
    <w:semiHidden/>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167</Words>
  <Characters>958</Characters>
  <Lines>7</Lines>
  <Paragraphs>2</Paragraphs>
  <TotalTime>133</TotalTime>
  <ScaleCrop>false</ScaleCrop>
  <LinksUpToDate>false</LinksUpToDate>
  <CharactersWithSpaces>1123</CharactersWithSpaces>
  <Application>WPS Office_5.4.0.7910_F1E327BC-269C-435d-A152-05C5408002CA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2023-05-12T10:58:00Z</dcterms:created>
  <dc:creator>杨 楠</dc:creator>
  <cp:lastModifiedBy>Stephanie</cp:lastModifiedBy>
  <cp:lastPrinted>2023-05-12T14:07:00Z</cp:lastPrinted>
  <dcterms:modified xsi:type="dcterms:W3CDTF">2023-05-27T12:04:49Z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2052-5.4.0.7910</vt:lpwstr>
  </property>
  <property fmtid="{D5CDD505-2E9C-101B-9397-08002B2CF9AE}" pid="3" name="ICV">
    <vt:lpwstr>FDB84EAD8AA300E85A8171640B355CF2_42</vt:lpwstr>
  </property>
</Properties>
</file>