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2023中关村论坛展览聚焦前沿科技与未来产业</w:t>
      </w:r>
    </w:p>
    <w:p>
      <w:pPr>
        <w:spacing w:before="312" w:beforeLines="100"/>
        <w:ind w:firstLine="640" w:firstLineChars="200"/>
        <w:rPr>
          <w:rFonts w:ascii="仿宋" w:hAnsi="仿宋" w:eastAsia="仿宋" w:cs="宋体"/>
          <w:sz w:val="32"/>
          <w:szCs w:val="32"/>
        </w:rPr>
      </w:pPr>
      <w:r>
        <w:rPr>
          <w:rFonts w:ascii="仿宋" w:hAnsi="仿宋" w:eastAsia="仿宋" w:cs="宋体"/>
          <w:sz w:val="32"/>
          <w:szCs w:val="32"/>
        </w:rPr>
        <w:t>5</w:t>
      </w:r>
      <w:r>
        <w:rPr>
          <w:rFonts w:hint="eastAsia" w:ascii="仿宋" w:hAnsi="仿宋" w:eastAsia="仿宋" w:cs="宋体"/>
          <w:sz w:val="32"/>
          <w:szCs w:val="32"/>
        </w:rPr>
        <w:t>月2</w:t>
      </w:r>
      <w:r>
        <w:rPr>
          <w:rFonts w:ascii="仿宋" w:hAnsi="仿宋" w:eastAsia="仿宋" w:cs="宋体"/>
          <w:sz w:val="32"/>
          <w:szCs w:val="32"/>
        </w:rPr>
        <w:t>6</w:t>
      </w:r>
      <w:r>
        <w:rPr>
          <w:rFonts w:hint="eastAsia" w:ascii="仿宋" w:hAnsi="仿宋" w:eastAsia="仿宋" w:cs="宋体"/>
          <w:sz w:val="32"/>
          <w:szCs w:val="32"/>
        </w:rPr>
        <w:t>日，20</w:t>
      </w:r>
      <w:r>
        <w:rPr>
          <w:rFonts w:ascii="仿宋" w:hAnsi="仿宋" w:eastAsia="仿宋" w:cs="宋体"/>
          <w:sz w:val="32"/>
          <w:szCs w:val="32"/>
        </w:rPr>
        <w:t>23</w:t>
      </w:r>
      <w:r>
        <w:rPr>
          <w:rFonts w:hint="eastAsia" w:ascii="仿宋" w:hAnsi="仿宋" w:eastAsia="仿宋" w:cs="宋体"/>
          <w:sz w:val="32"/>
          <w:szCs w:val="32"/>
        </w:rPr>
        <w:t>年中关村论坛“前沿科技与未来产业”展在中关村国家自主创新示范区展示中心开幕。展览总面积1万平米，聚焦前沿信息、生命科学、智能制造、绿色双碳等前沿科技与未来产业，集中展示了国内外1</w:t>
      </w:r>
      <w:r>
        <w:rPr>
          <w:rFonts w:ascii="仿宋" w:hAnsi="仿宋" w:eastAsia="仿宋" w:cs="宋体"/>
          <w:sz w:val="32"/>
          <w:szCs w:val="32"/>
        </w:rPr>
        <w:t>50</w:t>
      </w:r>
      <w:r>
        <w:rPr>
          <w:rFonts w:hint="eastAsia" w:ascii="仿宋" w:hAnsi="仿宋" w:eastAsia="仿宋" w:cs="宋体"/>
          <w:sz w:val="32"/>
          <w:szCs w:val="32"/>
        </w:rPr>
        <w:t>家单位的</w:t>
      </w:r>
      <w:r>
        <w:rPr>
          <w:rFonts w:ascii="仿宋" w:hAnsi="仿宋" w:eastAsia="仿宋" w:cs="宋体"/>
          <w:sz w:val="32"/>
          <w:szCs w:val="32"/>
        </w:rPr>
        <w:t>228</w:t>
      </w:r>
      <w:r>
        <w:rPr>
          <w:rFonts w:hint="eastAsia" w:ascii="仿宋" w:hAnsi="仿宋" w:eastAsia="仿宋" w:cs="宋体"/>
          <w:sz w:val="32"/>
          <w:szCs w:val="32"/>
        </w:rPr>
        <w:t>项科技成果，其中首发首展项目达60余项。</w:t>
      </w:r>
    </w:p>
    <w:p>
      <w:pPr>
        <w:ind w:firstLine="640" w:firstLineChars="200"/>
        <w:rPr>
          <w:rFonts w:ascii="仿宋" w:hAnsi="仿宋" w:eastAsia="仿宋" w:cs="宋体"/>
          <w:sz w:val="32"/>
          <w:szCs w:val="32"/>
        </w:rPr>
      </w:pPr>
      <w:r>
        <w:rPr>
          <w:rFonts w:hint="eastAsia" w:ascii="仿宋" w:hAnsi="仿宋" w:eastAsia="仿宋" w:cs="宋体"/>
          <w:sz w:val="32"/>
          <w:szCs w:val="32"/>
        </w:rPr>
        <w:t>“前沿科技与未来产业”展区云集了众多最新前沿科技成果，集中展示人工智能、智能制造与新材料、细胞与基因治疗、氢能储能、节能环保等领域最新技术进展和重大成果。其中，长安链、量子计算云平台、开源芯片、类脑计算芯片等全球最前沿技术成果将重磅亮相。</w:t>
      </w:r>
    </w:p>
    <w:p>
      <w:pPr>
        <w:ind w:firstLine="640" w:firstLineChars="200"/>
        <w:rPr>
          <w:rFonts w:ascii="仿宋" w:hAnsi="仿宋" w:eastAsia="仿宋" w:cs="宋体"/>
          <w:sz w:val="32"/>
          <w:szCs w:val="32"/>
        </w:rPr>
      </w:pPr>
      <w:r>
        <w:rPr>
          <w:rFonts w:hint="eastAsia" w:ascii="仿宋" w:hAnsi="仿宋" w:eastAsia="仿宋" w:cs="宋体"/>
          <w:sz w:val="32"/>
          <w:szCs w:val="32"/>
        </w:rPr>
        <w:t>北京微芯区块链与边缘计算研究院发布国内首个</w:t>
      </w:r>
      <w:bookmarkStart w:id="0" w:name="_GoBack"/>
      <w:bookmarkEnd w:id="0"/>
      <w:r>
        <w:rPr>
          <w:rFonts w:hint="eastAsia" w:ascii="仿宋" w:hAnsi="仿宋" w:eastAsia="仿宋" w:cs="宋体"/>
          <w:sz w:val="32"/>
          <w:szCs w:val="32"/>
        </w:rPr>
        <w:t>区块链软硬件技术体系“长安链”和全球首款256核区块链专用加速芯片。“长安链” 具有全自主、高性能、强隐私、广协作的突出特点。其每秒交易处理性能（TPS）已经超过 10 万，达到世界领先水平。应用加速芯片的“长安链”隐私计算专用加速卡，可将区块链交易性能提升 50 倍，隐私计算性能提升 20 倍。</w:t>
      </w:r>
    </w:p>
    <w:p>
      <w:pPr>
        <w:ind w:firstLine="640" w:firstLineChars="200"/>
        <w:rPr>
          <w:rFonts w:ascii="仿宋" w:hAnsi="仿宋" w:eastAsia="仿宋" w:cs="宋体"/>
          <w:sz w:val="32"/>
          <w:szCs w:val="32"/>
        </w:rPr>
      </w:pPr>
      <w:r>
        <w:rPr>
          <w:rFonts w:hint="eastAsia" w:ascii="仿宋" w:hAnsi="仿宋" w:eastAsia="仿宋" w:cs="宋体"/>
          <w:sz w:val="32"/>
          <w:szCs w:val="32"/>
        </w:rPr>
        <w:t>中科院理化技术研究所带来中法两国合作研发成果——极低温区基准级测温装置。中科院理化所与法国计量院建立了国际联合实验室，共同突破控温、控压、微波测频关键技术，成功研制了变革后国际首套-268℃—-248℃基准级测温装置，测温准确度和测速迄今仍为世界第一国际最优。这项 0 到 1 的工作，不仅解决了温度计量领域的国际前沿难题，而且建立了我国该温区温度计量体系的源头，参与了国际温标修订，实现了我国在该领域近百年来零的突破。</w:t>
      </w:r>
    </w:p>
    <w:p>
      <w:pPr>
        <w:ind w:firstLine="640" w:firstLineChars="200"/>
        <w:rPr>
          <w:rFonts w:ascii="仿宋" w:hAnsi="仿宋" w:eastAsia="仿宋" w:cs="宋体"/>
          <w:sz w:val="32"/>
          <w:szCs w:val="32"/>
        </w:rPr>
      </w:pPr>
      <w:r>
        <w:rPr>
          <w:rFonts w:hint="eastAsia" w:ascii="仿宋" w:hAnsi="仿宋" w:eastAsia="仿宋" w:cs="宋体"/>
          <w:sz w:val="32"/>
          <w:szCs w:val="32"/>
        </w:rPr>
        <w:t>北京开源芯片研究院（开芯院）的第二代“香山”（南湖架构）的开源高性能RISC-V处理器核性能已经超过ARM Cortex-A76 ，主频达到2GHz@14nm，同频性能较第一代提升35%（9.5分/GHz）。根据RISC-V国际基金会技术委员会评估，第二代“香山”（南湖架构）是目前国际上性能最高一档的RISC-V处理器核之一，且是唯一的开源版本，可用于构建中高端泛工业计算平台，重点解决工业控制、汽车、通信、航空、国防等安全属性强的泛工业领域 CPU 自主问题。</w:t>
      </w:r>
    </w:p>
    <w:p>
      <w:pPr>
        <w:ind w:firstLine="640" w:firstLineChars="200"/>
        <w:rPr>
          <w:rFonts w:ascii="仿宋" w:hAnsi="仿宋" w:eastAsia="仿宋" w:cs="宋体"/>
          <w:sz w:val="32"/>
          <w:szCs w:val="32"/>
        </w:rPr>
      </w:pPr>
      <w:r>
        <w:rPr>
          <w:rFonts w:hint="eastAsia" w:ascii="仿宋" w:hAnsi="仿宋" w:eastAsia="仿宋" w:cs="宋体"/>
          <w:sz w:val="32"/>
          <w:szCs w:val="32"/>
        </w:rPr>
        <w:t>北京脑科学与类脑研究中心是北京市重点支持的新型研发机构。脑机接口是面向未来的战略科技，也是全球科技竞争高地。本次展览展示了在电极、芯片和解码方面的最新进展，从基础研究、关键设备、再到集成应用，展现脑科学与类脑领域的全链条研究。我国研制了具有独立自主知识产权的千通道柔性神经流苏电极及网状探针。</w:t>
      </w:r>
    </w:p>
    <w:p>
      <w:pPr>
        <w:ind w:firstLine="640" w:firstLineChars="200"/>
        <w:rPr>
          <w:rFonts w:ascii="仿宋" w:hAnsi="仿宋" w:eastAsia="仿宋" w:cs="宋体"/>
          <w:sz w:val="32"/>
          <w:szCs w:val="32"/>
        </w:rPr>
      </w:pPr>
      <w:r>
        <w:rPr>
          <w:rFonts w:hint="eastAsia" w:ascii="仿宋" w:hAnsi="仿宋" w:eastAsia="仿宋" w:cs="宋体"/>
          <w:sz w:val="32"/>
          <w:szCs w:val="32"/>
        </w:rPr>
        <w:t>瓦里安医疗进入中国 40 年，从单纯生产设备向创新及癌症服务生态拓展。其“超弧刀”凭借“一心多靶”技术和全球最高亚毫米级治疗精度，可同时精准锁定多达数十个脑转移瘤，15 分钟内“一键式”精准清除，让转移灶数量和位置不再成为治疗的限制，更好地保护正常脑组织，让患者有希望从活着到活好。</w:t>
      </w:r>
    </w:p>
    <w:p>
      <w:pPr>
        <w:ind w:firstLine="640" w:firstLineChars="200"/>
        <w:rPr>
          <w:rFonts w:ascii="仿宋" w:hAnsi="仿宋" w:eastAsia="仿宋" w:cs="宋体"/>
          <w:sz w:val="32"/>
          <w:szCs w:val="32"/>
        </w:rPr>
      </w:pPr>
      <w:r>
        <w:rPr>
          <w:rFonts w:hint="eastAsia" w:ascii="仿宋" w:hAnsi="仿宋" w:eastAsia="仿宋" w:cs="宋体"/>
          <w:sz w:val="32"/>
          <w:szCs w:val="32"/>
        </w:rPr>
        <w:t>“前沿科技与未来产业”展览按照产业内在逻辑，把整个展区划分为若干个体系化、特色化的展示单元，实现单个项目的前沿性和产业集群的整体性有机融合。论坛增设了科技办展，广泛引入AR线上导览、全息投影、数字导引等技术手段，为观众带来了一场前沿科技的盛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_GBK">
    <w:altName w:val="汉仪书宋二KW"/>
    <w:panose1 w:val="00000000000000000000"/>
    <w:charset w:val="86"/>
    <w:family w:val="script"/>
    <w:pitch w:val="default"/>
    <w:sig w:usb0="00000000" w:usb1="00000000"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8167043"/>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ZWRmN2JhNmY3OTQwZTZkY2VhNTcyZjlhYTBjNDUifQ=="/>
  </w:docVars>
  <w:rsids>
    <w:rsidRoot w:val="00AA3833"/>
    <w:rsid w:val="00043B7C"/>
    <w:rsid w:val="0010639E"/>
    <w:rsid w:val="00156618"/>
    <w:rsid w:val="001D6C13"/>
    <w:rsid w:val="001E0864"/>
    <w:rsid w:val="002974BD"/>
    <w:rsid w:val="002A4AD5"/>
    <w:rsid w:val="002C1D5F"/>
    <w:rsid w:val="002E7ABA"/>
    <w:rsid w:val="00306D1C"/>
    <w:rsid w:val="003435B0"/>
    <w:rsid w:val="003C035C"/>
    <w:rsid w:val="00400080"/>
    <w:rsid w:val="004422AE"/>
    <w:rsid w:val="004B336F"/>
    <w:rsid w:val="004F09C8"/>
    <w:rsid w:val="00507BFA"/>
    <w:rsid w:val="005448DD"/>
    <w:rsid w:val="0055123D"/>
    <w:rsid w:val="00557ED2"/>
    <w:rsid w:val="005A3F95"/>
    <w:rsid w:val="005D1DA3"/>
    <w:rsid w:val="005D57A5"/>
    <w:rsid w:val="0064533E"/>
    <w:rsid w:val="006D6989"/>
    <w:rsid w:val="007765D8"/>
    <w:rsid w:val="007B770D"/>
    <w:rsid w:val="007E75D2"/>
    <w:rsid w:val="008319AF"/>
    <w:rsid w:val="008662B7"/>
    <w:rsid w:val="008A2104"/>
    <w:rsid w:val="008D2961"/>
    <w:rsid w:val="00990683"/>
    <w:rsid w:val="00A10168"/>
    <w:rsid w:val="00A6725A"/>
    <w:rsid w:val="00AA3833"/>
    <w:rsid w:val="00AC1D53"/>
    <w:rsid w:val="00AE06AC"/>
    <w:rsid w:val="00B416E6"/>
    <w:rsid w:val="00BA4CD3"/>
    <w:rsid w:val="00BB130D"/>
    <w:rsid w:val="00BF18D1"/>
    <w:rsid w:val="00C107DB"/>
    <w:rsid w:val="00CA6708"/>
    <w:rsid w:val="00D063C9"/>
    <w:rsid w:val="00D25346"/>
    <w:rsid w:val="00D34A83"/>
    <w:rsid w:val="00D34C85"/>
    <w:rsid w:val="00DB3734"/>
    <w:rsid w:val="00DC0280"/>
    <w:rsid w:val="00E85775"/>
    <w:rsid w:val="00F04CF1"/>
    <w:rsid w:val="29B85F34"/>
    <w:rsid w:val="335177B5"/>
    <w:rsid w:val="52874421"/>
    <w:rsid w:val="7F445E33"/>
    <w:rsid w:val="F7DBF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alloon Text"/>
    <w:basedOn w:val="1"/>
    <w:link w:val="13"/>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iPriority w:val="0"/>
    <w:rPr>
      <w:b/>
      <w:bCs/>
    </w:rPr>
  </w:style>
  <w:style w:type="character" w:styleId="9">
    <w:name w:val="annotation reference"/>
    <w:basedOn w:val="8"/>
    <w:uiPriority w:val="0"/>
    <w:rPr>
      <w:sz w:val="21"/>
      <w:szCs w:val="21"/>
    </w:rPr>
  </w:style>
  <w:style w:type="character" w:customStyle="1" w:styleId="10">
    <w:name w:val="页眉 字符"/>
    <w:basedOn w:val="8"/>
    <w:link w:val="5"/>
    <w:uiPriority w:val="0"/>
    <w:rPr>
      <w:kern w:val="2"/>
      <w:sz w:val="18"/>
      <w:szCs w:val="18"/>
    </w:rPr>
  </w:style>
  <w:style w:type="character" w:customStyle="1" w:styleId="11">
    <w:name w:val="页脚 字符"/>
    <w:basedOn w:val="8"/>
    <w:link w:val="4"/>
    <w:uiPriority w:val="99"/>
    <w:rPr>
      <w:kern w:val="2"/>
      <w:sz w:val="18"/>
      <w:szCs w:val="18"/>
    </w:rPr>
  </w:style>
  <w:style w:type="paragraph" w:customStyle="1" w:styleId="12">
    <w:name w:val="修订1"/>
    <w:hidden/>
    <w:semiHidden/>
    <w:uiPriority w:val="99"/>
    <w:rPr>
      <w:rFonts w:asciiTheme="minorHAnsi" w:hAnsiTheme="minorHAnsi" w:eastAsiaTheme="minorEastAsia" w:cstheme="minorBidi"/>
      <w:kern w:val="2"/>
      <w:sz w:val="21"/>
      <w:szCs w:val="24"/>
      <w:lang w:val="en-US" w:eastAsia="zh-CN" w:bidi="ar-SA"/>
    </w:rPr>
  </w:style>
  <w:style w:type="character" w:customStyle="1" w:styleId="13">
    <w:name w:val="批注框文本 字符"/>
    <w:basedOn w:val="8"/>
    <w:link w:val="3"/>
    <w:uiPriority w:val="0"/>
    <w:rPr>
      <w:kern w:val="2"/>
      <w:sz w:val="18"/>
      <w:szCs w:val="18"/>
    </w:rPr>
  </w:style>
  <w:style w:type="paragraph" w:styleId="14">
    <w:name w:val="List Paragraph"/>
    <w:basedOn w:val="1"/>
    <w:uiPriority w:val="99"/>
    <w:pPr>
      <w:ind w:firstLine="420" w:firstLineChars="200"/>
    </w:pPr>
  </w:style>
  <w:style w:type="paragraph" w:customStyle="1" w:styleId="15">
    <w:name w:val="Revision"/>
    <w:hidden/>
    <w:semiHidden/>
    <w:uiPriority w:val="99"/>
    <w:rPr>
      <w:rFonts w:asciiTheme="minorHAnsi" w:hAnsiTheme="minorHAnsi" w:eastAsiaTheme="minorEastAsia" w:cstheme="minorBidi"/>
      <w:kern w:val="2"/>
      <w:sz w:val="21"/>
      <w:szCs w:val="24"/>
      <w:lang w:val="en-US" w:eastAsia="zh-CN" w:bidi="ar-SA"/>
    </w:rPr>
  </w:style>
  <w:style w:type="character" w:customStyle="1" w:styleId="16">
    <w:name w:val="批注文字 字符"/>
    <w:basedOn w:val="8"/>
    <w:link w:val="2"/>
    <w:uiPriority w:val="0"/>
    <w:rPr>
      <w:kern w:val="2"/>
      <w:sz w:val="21"/>
      <w:szCs w:val="24"/>
    </w:rPr>
  </w:style>
  <w:style w:type="character" w:customStyle="1" w:styleId="17">
    <w:name w:val="批注主题 字符"/>
    <w:basedOn w:val="16"/>
    <w:link w:val="6"/>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Words>
  <Characters>1114</Characters>
  <Lines>9</Lines>
  <Paragraphs>2</Paragraphs>
  <TotalTime>370</TotalTime>
  <ScaleCrop>false</ScaleCrop>
  <LinksUpToDate>false</LinksUpToDate>
  <CharactersWithSpaces>1307</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2023-05-10T20:52:00Z</dcterms:created>
  <dc:creator>NAOMI</dc:creator>
  <cp:lastModifiedBy>Stephanie</cp:lastModifiedBy>
  <dcterms:modified xsi:type="dcterms:W3CDTF">2023-05-27T12:05:13Z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EB7B154FE61F4D198133738E82BE27A9_13</vt:lpwstr>
  </property>
</Properties>
</file>