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2023中关村论坛开幕式</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重大科技成果发布视频脚本</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auto"/>
          <w:spacing w:val="0"/>
          <w:sz w:val="32"/>
          <w:szCs w:val="32"/>
          <w:lang w:val="en-US" w:eastAsia="zh-CN"/>
        </w:rPr>
      </w:pPr>
      <w:r>
        <w:rPr>
          <w:rFonts w:hint="eastAsia" w:ascii="方正黑体_GBK" w:hAnsi="方正黑体_GBK" w:eastAsia="方正黑体_GBK" w:cs="方正黑体_GBK"/>
          <w:color w:val="auto"/>
          <w:sz w:val="32"/>
          <w:szCs w:val="32"/>
          <w:lang w:val="en-US" w:eastAsia="zh-CN"/>
        </w:rPr>
        <w:t>重大科技成果一：</w:t>
      </w:r>
      <w:r>
        <w:rPr>
          <w:rFonts w:hint="eastAsia" w:ascii="方正黑体_GBK" w:hAnsi="方正黑体_GBK" w:eastAsia="方正黑体_GBK" w:cs="方正黑体_GBK"/>
          <w:color w:val="auto"/>
          <w:spacing w:val="0"/>
          <w:sz w:val="32"/>
          <w:szCs w:val="32"/>
          <w:lang w:val="en-US" w:eastAsia="zh-CN"/>
        </w:rPr>
        <w:t>北京国际科技创新中心建设情况评估报告</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ascii="方正黑体_GBK" w:hAnsi="方正黑体_GBK" w:eastAsia="方正黑体_GBK" w:cs="方正黑体_GBK"/>
          <w:color w:val="auto"/>
          <w:spacing w:val="0"/>
          <w:sz w:val="32"/>
          <w:szCs w:val="32"/>
          <w:lang w:val="en-US" w:eastAsia="zh-CN"/>
        </w:rPr>
        <w:t>发布单位：中国工程院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北京国际科技创新中心正在加快建设。受科技部委托，中国工程院对北京国际科技创新中心建设情况进行充分评估，形成了评估报告。评估认为，北京原始创新和科技源头供给能力实现了提升，在建立新型举国体制方面作出了示范性探索，初步建成具有全球影响力的科技创新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邬贺铨：北京国际科技创新中心建设成效显著，已经成为全球创新网络的重要力量，为我国进入创新型国家行列提供了有力支撑</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重大科技成果二：中关村先行先试改革重要进展与成效</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pacing w:val="0"/>
          <w:sz w:val="32"/>
          <w:szCs w:val="32"/>
          <w:lang w:val="en-US" w:eastAsia="zh-CN"/>
        </w:rPr>
      </w:pPr>
      <w:r>
        <w:rPr>
          <w:rFonts w:hint="eastAsia" w:ascii="方正黑体_GBK" w:hAnsi="方正黑体_GBK" w:eastAsia="方正黑体_GBK" w:cs="方正黑体_GBK"/>
          <w:color w:val="auto"/>
          <w:spacing w:val="0"/>
          <w:sz w:val="32"/>
          <w:szCs w:val="32"/>
          <w:lang w:val="en-US" w:eastAsia="zh-CN"/>
        </w:rPr>
        <w:t>发布单位：科学技术部、国家发展改革委、工业和信息化部等26个部门，北京市人民政府</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2021年11月，中央全面深化改革委员会第二十二次会议审议通过《关于支持中关村国家自主创新示范区开展高水平科技自立自强先行先试改革的若干措施》</w:t>
      </w:r>
      <w:r>
        <w:rPr>
          <w:rFonts w:hint="eastAsia" w:ascii="仿宋_GB2312" w:hAnsi="仿宋_GB2312" w:eastAsia="仿宋_GB2312" w:cs="仿宋_GB2312"/>
          <w:b w:val="0"/>
          <w:bCs w:val="0"/>
          <w:color w:val="auto"/>
          <w:sz w:val="32"/>
          <w:szCs w:val="32"/>
          <w:lang w:eastAsia="zh-CN"/>
        </w:rPr>
        <w:t>，在中关村核心区率先探索</w:t>
      </w:r>
      <w:r>
        <w:rPr>
          <w:rFonts w:hint="eastAsia" w:ascii="仿宋_GB2312" w:hAnsi="仿宋_GB2312" w:eastAsia="仿宋_GB2312" w:cs="仿宋_GB2312"/>
          <w:b w:val="0"/>
          <w:bCs w:val="0"/>
          <w:color w:val="auto"/>
          <w:sz w:val="32"/>
          <w:szCs w:val="32"/>
        </w:rPr>
        <w:t>一系列重大改革措施</w:t>
      </w:r>
      <w:r>
        <w:rPr>
          <w:rFonts w:hint="eastAsia" w:ascii="仿宋_GB2312" w:hAnsi="仿宋_GB2312" w:eastAsia="仿宋_GB2312" w:cs="仿宋_GB2312"/>
          <w:b w:val="0"/>
          <w:bCs w:val="0"/>
          <w:color w:val="auto"/>
          <w:sz w:val="32"/>
          <w:szCs w:val="32"/>
          <w:lang w:eastAsia="zh-CN"/>
        </w:rPr>
        <w:t>。目前，</w:t>
      </w:r>
      <w:r>
        <w:rPr>
          <w:rFonts w:hint="eastAsia" w:ascii="仿宋_GB2312" w:hAnsi="仿宋_GB2312" w:eastAsia="仿宋_GB2312" w:cs="仿宋_GB2312"/>
          <w:b w:val="0"/>
          <w:bCs w:val="0"/>
          <w:color w:val="auto"/>
          <w:kern w:val="2"/>
          <w:sz w:val="32"/>
          <w:szCs w:val="32"/>
          <w:lang w:val="en-US" w:eastAsia="zh-CN" w:bidi="ar-SA"/>
        </w:rPr>
        <w:t>累计出台5</w:t>
      </w:r>
      <w:r>
        <w:rPr>
          <w:rFonts w:hint="default" w:ascii="仿宋_GB2312" w:hAnsi="仿宋_GB2312" w:eastAsia="仿宋_GB2312" w:cs="仿宋_GB2312"/>
          <w:b w:val="0"/>
          <w:bCs w:val="0"/>
          <w:color w:val="auto"/>
          <w:kern w:val="2"/>
          <w:sz w:val="32"/>
          <w:szCs w:val="32"/>
          <w:lang w:eastAsia="zh-CN" w:bidi="ar-SA"/>
        </w:rPr>
        <w:t>8</w:t>
      </w:r>
      <w:r>
        <w:rPr>
          <w:rFonts w:hint="eastAsia" w:ascii="仿宋_GB2312" w:hAnsi="仿宋_GB2312" w:eastAsia="仿宋_GB2312" w:cs="仿宋_GB2312"/>
          <w:b w:val="0"/>
          <w:bCs w:val="0"/>
          <w:color w:val="auto"/>
          <w:kern w:val="2"/>
          <w:sz w:val="32"/>
          <w:szCs w:val="32"/>
          <w:lang w:val="en-US" w:eastAsia="zh-CN" w:bidi="ar-SA"/>
        </w:rPr>
        <w:t>项配套政策，先行先试改革</w:t>
      </w:r>
      <w:r>
        <w:rPr>
          <w:rFonts w:hint="eastAsia" w:ascii="仿宋_GB2312" w:hAnsi="仿宋_GB2312" w:eastAsia="仿宋_GB2312" w:cs="仿宋_GB2312"/>
          <w:b w:val="0"/>
          <w:bCs w:val="0"/>
          <w:color w:val="auto"/>
          <w:sz w:val="32"/>
          <w:szCs w:val="32"/>
          <w:lang w:eastAsia="zh-CN"/>
        </w:rPr>
        <w:t>取得重要进展与明显成效。</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企业研发投入动力</w:t>
      </w:r>
      <w:r>
        <w:rPr>
          <w:rFonts w:hint="eastAsia" w:ascii="仿宋_GB2312" w:hAnsi="仿宋_GB2312" w:eastAsia="仿宋_GB2312" w:cs="仿宋_GB2312"/>
          <w:b w:val="0"/>
          <w:bCs w:val="0"/>
          <w:color w:val="auto"/>
          <w:sz w:val="32"/>
          <w:szCs w:val="32"/>
          <w:lang w:eastAsia="zh-CN"/>
        </w:rPr>
        <w:t>大幅提升，</w:t>
      </w:r>
      <w:r>
        <w:rPr>
          <w:rFonts w:hint="eastAsia" w:ascii="仿宋_GB2312" w:hAnsi="仿宋_GB2312" w:eastAsia="仿宋_GB2312" w:cs="仿宋_GB2312"/>
          <w:b w:val="0"/>
          <w:bCs w:val="0"/>
          <w:color w:val="auto"/>
          <w:sz w:val="32"/>
          <w:szCs w:val="32"/>
          <w:lang w:val="en-US" w:eastAsia="zh-CN"/>
        </w:rPr>
        <w:t>1万余户企业</w:t>
      </w:r>
      <w:r>
        <w:rPr>
          <w:rFonts w:hint="eastAsia" w:ascii="仿宋_GB2312" w:hAnsi="仿宋_GB2312" w:eastAsia="仿宋_GB2312" w:cs="仿宋_GB2312"/>
          <w:b w:val="0"/>
          <w:bCs w:val="0"/>
          <w:color w:val="auto"/>
          <w:sz w:val="32"/>
          <w:szCs w:val="32"/>
          <w:lang w:eastAsia="zh-CN"/>
        </w:rPr>
        <w:t>享受基础研究税收试点和科技型中小企业研发费用加计扣除比例提高至</w:t>
      </w:r>
      <w:r>
        <w:rPr>
          <w:rFonts w:hint="eastAsia" w:ascii="仿宋_GB2312" w:hAnsi="仿宋_GB2312" w:eastAsia="仿宋_GB2312" w:cs="仿宋_GB2312"/>
          <w:b w:val="0"/>
          <w:bCs w:val="0"/>
          <w:color w:val="auto"/>
          <w:sz w:val="32"/>
          <w:szCs w:val="32"/>
          <w:lang w:val="en-US" w:eastAsia="zh-CN"/>
        </w:rPr>
        <w:t>100%等</w:t>
      </w:r>
      <w:r>
        <w:rPr>
          <w:rFonts w:hint="eastAsia" w:ascii="仿宋_GB2312" w:hAnsi="仿宋_GB2312" w:eastAsia="仿宋_GB2312" w:cs="仿宋_GB2312"/>
          <w:b w:val="0"/>
          <w:bCs w:val="0"/>
          <w:color w:val="auto"/>
          <w:sz w:val="32"/>
          <w:szCs w:val="32"/>
          <w:lang w:eastAsia="zh-CN"/>
        </w:rPr>
        <w:t>政策</w:t>
      </w:r>
      <w:r>
        <w:rPr>
          <w:rFonts w:hint="eastAsia" w:ascii="仿宋_GB2312" w:hAnsi="仿宋_GB2312" w:eastAsia="仿宋_GB2312" w:cs="仿宋_GB2312"/>
          <w:b w:val="0"/>
          <w:bCs w:val="0"/>
          <w:color w:val="auto"/>
          <w:sz w:val="32"/>
          <w:szCs w:val="32"/>
        </w:rPr>
        <w:t>，加计扣除金额达300多亿元。</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产学研</w:t>
      </w:r>
      <w:r>
        <w:rPr>
          <w:rFonts w:hint="eastAsia" w:ascii="仿宋_GB2312" w:hAnsi="仿宋_GB2312" w:eastAsia="仿宋_GB2312" w:cs="仿宋_GB2312"/>
          <w:b w:val="0"/>
          <w:bCs w:val="0"/>
          <w:color w:val="auto"/>
          <w:sz w:val="32"/>
          <w:szCs w:val="32"/>
          <w:lang w:eastAsia="zh-CN"/>
        </w:rPr>
        <w:t>深度</w:t>
      </w:r>
      <w:r>
        <w:rPr>
          <w:rFonts w:hint="eastAsia" w:ascii="仿宋_GB2312" w:hAnsi="仿宋_GB2312" w:eastAsia="仿宋_GB2312" w:cs="仿宋_GB2312"/>
          <w:b w:val="0"/>
          <w:bCs w:val="0"/>
          <w:color w:val="auto"/>
          <w:sz w:val="32"/>
          <w:szCs w:val="32"/>
        </w:rPr>
        <w:t>融合</w:t>
      </w:r>
      <w:r>
        <w:rPr>
          <w:rFonts w:hint="eastAsia" w:ascii="仿宋_GB2312" w:hAnsi="仿宋_GB2312" w:eastAsia="仿宋_GB2312" w:cs="仿宋_GB2312"/>
          <w:b w:val="0"/>
          <w:bCs w:val="0"/>
          <w:color w:val="auto"/>
          <w:sz w:val="32"/>
          <w:szCs w:val="32"/>
          <w:lang w:eastAsia="zh-CN"/>
        </w:rPr>
        <w:t>不断加强</w:t>
      </w:r>
      <w:r>
        <w:rPr>
          <w:rFonts w:hint="eastAsia" w:ascii="仿宋_GB2312" w:hAnsi="仿宋_GB2312" w:eastAsia="仿宋_GB2312" w:cs="仿宋_GB2312"/>
          <w:b w:val="0"/>
          <w:bCs w:val="0"/>
          <w:color w:val="auto"/>
          <w:sz w:val="32"/>
          <w:szCs w:val="32"/>
        </w:rPr>
        <w:t>，科技成果“先使用后付费”试点吸引高校</w:t>
      </w:r>
      <w:r>
        <w:rPr>
          <w:rFonts w:hint="eastAsia" w:ascii="仿宋_GB2312" w:hAnsi="仿宋_GB2312" w:eastAsia="仿宋_GB2312" w:cs="仿宋_GB2312"/>
          <w:b w:val="0"/>
          <w:bCs w:val="0"/>
          <w:color w:val="auto"/>
          <w:sz w:val="32"/>
          <w:szCs w:val="32"/>
          <w:lang w:eastAsia="zh-CN"/>
        </w:rPr>
        <w:t>、科研</w:t>
      </w:r>
      <w:r>
        <w:rPr>
          <w:rFonts w:hint="eastAsia" w:ascii="仿宋_GB2312" w:hAnsi="仿宋_GB2312" w:eastAsia="仿宋_GB2312" w:cs="仿宋_GB2312"/>
          <w:b w:val="0"/>
          <w:bCs w:val="0"/>
          <w:color w:val="auto"/>
          <w:sz w:val="32"/>
          <w:szCs w:val="32"/>
        </w:rPr>
        <w:t>院所近千项专利服务中小</w:t>
      </w:r>
      <w:r>
        <w:rPr>
          <w:rFonts w:hint="eastAsia" w:ascii="仿宋_GB2312" w:hAnsi="仿宋_GB2312" w:eastAsia="仿宋_GB2312" w:cs="仿宋_GB2312"/>
          <w:b w:val="0"/>
          <w:bCs w:val="0"/>
          <w:color w:val="auto"/>
          <w:sz w:val="32"/>
          <w:szCs w:val="32"/>
          <w:lang w:eastAsia="zh-CN"/>
        </w:rPr>
        <w:t>微</w:t>
      </w:r>
      <w:r>
        <w:rPr>
          <w:rFonts w:hint="eastAsia" w:ascii="仿宋_GB2312" w:hAnsi="仿宋_GB2312" w:eastAsia="仿宋_GB2312" w:cs="仿宋_GB2312"/>
          <w:b w:val="0"/>
          <w:bCs w:val="0"/>
          <w:color w:val="auto"/>
          <w:sz w:val="32"/>
          <w:szCs w:val="32"/>
        </w:rPr>
        <w:t>企业创新</w:t>
      </w:r>
      <w:r>
        <w:rPr>
          <w:rFonts w:hint="eastAsia" w:ascii="仿宋_GB2312" w:hAnsi="仿宋_GB2312" w:eastAsia="仿宋_GB2312" w:cs="仿宋_GB2312"/>
          <w:b w:val="0"/>
          <w:bCs w:val="0"/>
          <w:color w:val="auto"/>
          <w:sz w:val="32"/>
          <w:szCs w:val="32"/>
          <w:lang w:eastAsia="zh-CN"/>
        </w:rPr>
        <w:t>。支持</w:t>
      </w:r>
      <w:r>
        <w:rPr>
          <w:rFonts w:hint="eastAsia" w:ascii="仿宋_GB2312" w:hAnsi="仿宋_GB2312" w:eastAsia="仿宋_GB2312" w:cs="仿宋_GB2312"/>
          <w:b w:val="0"/>
          <w:bCs w:val="0"/>
          <w:color w:val="auto"/>
          <w:sz w:val="32"/>
          <w:szCs w:val="32"/>
        </w:rPr>
        <w:t>组建</w:t>
      </w:r>
      <w:r>
        <w:rPr>
          <w:rFonts w:hint="eastAsia" w:ascii="仿宋_GB2312" w:hAnsi="仿宋_GB2312" w:eastAsia="仿宋_GB2312" w:cs="仿宋_GB2312"/>
          <w:b w:val="0"/>
          <w:bCs w:val="0"/>
          <w:color w:val="auto"/>
          <w:sz w:val="32"/>
          <w:szCs w:val="32"/>
          <w:lang w:eastAsia="zh-CN"/>
        </w:rPr>
        <w:t>一批科技</w:t>
      </w:r>
      <w:r>
        <w:rPr>
          <w:rFonts w:hint="eastAsia" w:ascii="仿宋_GB2312" w:hAnsi="仿宋_GB2312" w:eastAsia="仿宋_GB2312" w:cs="仿宋_GB2312"/>
          <w:b w:val="0"/>
          <w:bCs w:val="0"/>
          <w:color w:val="auto"/>
          <w:sz w:val="32"/>
          <w:szCs w:val="32"/>
          <w:lang w:val="en-US" w:eastAsia="zh-CN"/>
        </w:rPr>
        <w:t>领军企业</w:t>
      </w:r>
      <w:r>
        <w:rPr>
          <w:rFonts w:hint="eastAsia" w:ascii="仿宋_GB2312" w:hAnsi="仿宋_GB2312" w:eastAsia="仿宋_GB2312" w:cs="仿宋_GB2312"/>
          <w:b w:val="0"/>
          <w:bCs w:val="0"/>
          <w:color w:val="auto"/>
          <w:sz w:val="32"/>
          <w:szCs w:val="32"/>
          <w:lang w:eastAsia="zh-CN"/>
        </w:rPr>
        <w:t>牵头的</w:t>
      </w:r>
      <w:r>
        <w:rPr>
          <w:rFonts w:hint="eastAsia" w:ascii="仿宋_GB2312" w:hAnsi="仿宋_GB2312" w:eastAsia="仿宋_GB2312" w:cs="仿宋_GB2312"/>
          <w:b w:val="0"/>
          <w:bCs w:val="0"/>
          <w:color w:val="auto"/>
          <w:sz w:val="32"/>
          <w:szCs w:val="32"/>
        </w:rPr>
        <w:t>创新联合体。</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人才培养</w:t>
      </w:r>
      <w:r>
        <w:rPr>
          <w:rFonts w:hint="eastAsia" w:ascii="仿宋_GB2312" w:hAnsi="仿宋_GB2312" w:eastAsia="仿宋_GB2312" w:cs="仿宋_GB2312"/>
          <w:b w:val="0"/>
          <w:bCs w:val="0"/>
          <w:color w:val="auto"/>
          <w:sz w:val="32"/>
          <w:szCs w:val="32"/>
          <w:lang w:eastAsia="zh-CN"/>
        </w:rPr>
        <w:t>与</w:t>
      </w:r>
      <w:r>
        <w:rPr>
          <w:rFonts w:hint="eastAsia" w:ascii="仿宋_GB2312" w:hAnsi="仿宋_GB2312" w:eastAsia="仿宋_GB2312" w:cs="仿宋_GB2312"/>
          <w:b w:val="0"/>
          <w:bCs w:val="0"/>
          <w:color w:val="auto"/>
          <w:sz w:val="32"/>
          <w:szCs w:val="32"/>
        </w:rPr>
        <w:t>引进力度进一步</w:t>
      </w:r>
      <w:r>
        <w:rPr>
          <w:rFonts w:hint="eastAsia" w:ascii="仿宋_GB2312" w:hAnsi="仿宋_GB2312" w:eastAsia="仿宋_GB2312" w:cs="仿宋_GB2312"/>
          <w:b w:val="0"/>
          <w:bCs w:val="0"/>
          <w:color w:val="auto"/>
          <w:sz w:val="32"/>
          <w:szCs w:val="32"/>
          <w:lang w:eastAsia="zh-CN"/>
        </w:rPr>
        <w:t>加大</w:t>
      </w:r>
      <w:r>
        <w:rPr>
          <w:rFonts w:hint="eastAsia" w:ascii="仿宋_GB2312" w:hAnsi="仿宋_GB2312" w:eastAsia="仿宋_GB2312" w:cs="仿宋_GB2312"/>
          <w:b w:val="0"/>
          <w:bCs w:val="0"/>
          <w:color w:val="auto"/>
          <w:sz w:val="32"/>
          <w:szCs w:val="32"/>
        </w:rPr>
        <w:t>，新型研发机构与高校</w:t>
      </w:r>
      <w:r>
        <w:rPr>
          <w:rFonts w:hint="eastAsia" w:ascii="仿宋_GB2312" w:hAnsi="仿宋_GB2312" w:eastAsia="仿宋_GB2312" w:cs="仿宋_GB2312"/>
          <w:b w:val="0"/>
          <w:bCs w:val="0"/>
          <w:color w:val="auto"/>
          <w:sz w:val="32"/>
          <w:szCs w:val="32"/>
          <w:lang w:eastAsia="zh-CN"/>
        </w:rPr>
        <w:t>联合</w:t>
      </w:r>
      <w:r>
        <w:rPr>
          <w:rFonts w:hint="eastAsia" w:ascii="仿宋_GB2312" w:hAnsi="仿宋_GB2312" w:eastAsia="仿宋_GB2312" w:cs="仿宋_GB2312"/>
          <w:b w:val="0"/>
          <w:bCs w:val="0"/>
          <w:color w:val="auto"/>
          <w:sz w:val="32"/>
          <w:szCs w:val="32"/>
        </w:rPr>
        <w:t>培养研究生</w:t>
      </w:r>
      <w:r>
        <w:rPr>
          <w:rFonts w:hint="eastAsia" w:ascii="仿宋_GB2312" w:hAnsi="仿宋_GB2312" w:eastAsia="仿宋_GB2312" w:cs="仿宋_GB2312"/>
          <w:b w:val="0"/>
          <w:bCs w:val="0"/>
          <w:color w:val="auto"/>
          <w:sz w:val="32"/>
          <w:szCs w:val="32"/>
          <w:lang w:eastAsia="zh-CN"/>
        </w:rPr>
        <w:t>实现常态化。</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中关村先行先试改革措施</w:t>
      </w:r>
      <w:r>
        <w:rPr>
          <w:rFonts w:hint="eastAsia" w:ascii="仿宋_GB2312" w:hAnsi="仿宋_GB2312" w:eastAsia="仿宋_GB2312" w:cs="仿宋_GB2312"/>
          <w:b w:val="0"/>
          <w:bCs w:val="0"/>
          <w:color w:val="auto"/>
          <w:sz w:val="32"/>
          <w:szCs w:val="32"/>
          <w:lang w:val="en-US" w:eastAsia="zh-CN"/>
        </w:rPr>
        <w:t>将</w:t>
      </w:r>
      <w:r>
        <w:rPr>
          <w:rFonts w:hint="eastAsia" w:ascii="仿宋_GB2312" w:hAnsi="仿宋_GB2312" w:eastAsia="仿宋_GB2312" w:cs="仿宋_GB2312"/>
          <w:b w:val="0"/>
          <w:bCs w:val="0"/>
          <w:color w:val="auto"/>
          <w:sz w:val="32"/>
          <w:szCs w:val="32"/>
          <w:lang w:eastAsia="zh-CN"/>
        </w:rPr>
        <w:t>向示范区全域推广。</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val="0"/>
          <w:bCs w:val="0"/>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重大科技</w:t>
      </w:r>
      <w:r>
        <w:rPr>
          <w:rFonts w:hint="eastAsia" w:ascii="方正黑体_GBK" w:hAnsi="方正黑体_GBK" w:eastAsia="方正黑体_GBK" w:cs="方正黑体_GBK"/>
          <w:color w:val="auto"/>
          <w:sz w:val="32"/>
          <w:szCs w:val="32"/>
          <w:lang w:val="en-US" w:eastAsia="zh-CN"/>
        </w:rPr>
        <w:t>成果三：</w:t>
      </w:r>
      <w:r>
        <w:rPr>
          <w:rFonts w:hint="eastAsia" w:ascii="方正黑体_GBK" w:hAnsi="方正黑体_GBK" w:eastAsia="方正黑体_GBK" w:cs="方正黑体_GBK"/>
          <w:b w:val="0"/>
          <w:bCs w:val="0"/>
          <w:color w:val="auto"/>
          <w:sz w:val="32"/>
          <w:szCs w:val="32"/>
          <w:lang w:val="en-US" w:eastAsia="zh-CN"/>
        </w:rPr>
        <w:t>新一代256核区块链专用加速芯片</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color w:val="auto"/>
          <w:sz w:val="32"/>
          <w:szCs w:val="32"/>
        </w:rPr>
      </w:pPr>
      <w:r>
        <w:rPr>
          <w:rFonts w:hint="eastAsia" w:ascii="方正黑体_GBK" w:hAnsi="方正黑体_GBK" w:eastAsia="方正黑体_GBK" w:cs="方正黑体_GBK"/>
          <w:b w:val="0"/>
          <w:bCs w:val="0"/>
          <w:color w:val="auto"/>
          <w:sz w:val="32"/>
          <w:szCs w:val="32"/>
          <w:lang w:val="en-US" w:eastAsia="zh-CN"/>
        </w:rPr>
        <w:t>发布单位：</w:t>
      </w:r>
      <w:r>
        <w:rPr>
          <w:rFonts w:hint="eastAsia" w:ascii="方正黑体_GBK" w:hAnsi="方正黑体_GBK" w:eastAsia="方正黑体_GBK" w:cs="方正黑体_GBK"/>
          <w:b w:val="0"/>
          <w:bCs w:val="0"/>
          <w:color w:val="auto"/>
          <w:sz w:val="32"/>
          <w:szCs w:val="32"/>
        </w:rPr>
        <w:t>北京微芯区块链与边缘计算研究院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北京微芯区块链与边</w:t>
      </w:r>
      <w:r>
        <w:rPr>
          <w:rFonts w:hint="eastAsia" w:ascii="仿宋_GB2312" w:hAnsi="仿宋_GB2312" w:cs="仿宋_GB2312"/>
          <w:b w:val="0"/>
          <w:bCs w:val="0"/>
          <w:color w:val="auto"/>
          <w:sz w:val="32"/>
          <w:szCs w:val="32"/>
          <w:lang w:val="en-US" w:eastAsia="zh-CN"/>
        </w:rPr>
        <w:t>缘计算研究院强化原始创新</w:t>
      </w:r>
      <w:r>
        <w:rPr>
          <w:rFonts w:hint="default" w:ascii="仿宋_GB2312" w:hAnsi="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成功研发自主可控的</w:t>
      </w:r>
      <w:r>
        <w:rPr>
          <w:rFonts w:hint="eastAsia" w:ascii="仿宋_GB2312" w:hAnsi="仿宋_GB2312" w:cs="仿宋_GB2312"/>
          <w:b w:val="0"/>
          <w:bCs w:val="0"/>
          <w:color w:val="auto"/>
          <w:sz w:val="32"/>
          <w:szCs w:val="32"/>
          <w:lang w:val="en-US" w:eastAsia="zh-CN"/>
        </w:rPr>
        <w:t>新一代256核高性能区块链加速芯片。该款芯片集强算力与高安全于一体，调度256核多线程并发运行，</w:t>
      </w:r>
      <w:r>
        <w:rPr>
          <w:rFonts w:hint="eastAsia" w:ascii="仿宋_GB2312" w:hAnsi="仿宋_GB2312" w:cs="仿宋_GB2312"/>
          <w:b w:val="0"/>
          <w:bCs w:val="0"/>
          <w:color w:val="auto"/>
          <w:sz w:val="32"/>
          <w:szCs w:val="32"/>
          <w:lang w:val="en-US" w:eastAsia="zh-CN"/>
        </w:rPr>
        <w:t>每秒可以处理100万笔区块链智能合约交易，并提供高效隐私计算能力，实现“数据可用不可见”，可支撑构建软硬一体的高性能、高可信、高安全的新型数字基础设施。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cs="仿宋_GB2312"/>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重大科技成果</w:t>
      </w:r>
      <w:r>
        <w:rPr>
          <w:rFonts w:hint="eastAsia" w:ascii="方正黑体_GBK" w:hAnsi="方正黑体_GBK" w:eastAsia="方正黑体_GBK" w:cs="方正黑体_GBK"/>
          <w:color w:val="auto"/>
          <w:sz w:val="32"/>
          <w:szCs w:val="32"/>
          <w:lang w:val="en-US" w:eastAsia="zh-CN"/>
        </w:rPr>
        <w:t>四</w:t>
      </w:r>
      <w:r>
        <w:rPr>
          <w:rFonts w:hint="eastAsia" w:ascii="方正黑体_GBK" w:hAnsi="方正黑体_GBK" w:eastAsia="方正黑体_GBK" w:cs="方正黑体_GBK"/>
          <w:color w:val="auto"/>
          <w:sz w:val="32"/>
          <w:szCs w:val="32"/>
          <w:lang w:eastAsia="zh-CN"/>
        </w:rPr>
        <w:t>：半导体黑磷的超快瞬时能带调控</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发布单位：清华大学</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sz w:val="32"/>
          <w:szCs w:val="32"/>
          <w:lang w:val="en-US" w:eastAsia="zh-CN"/>
        </w:rPr>
        <w:t>光与物质的相互作用是探究石墨烯、拓扑、超导等低维量子材料微观物理机制的重要探测手段，其中，超短超强脉冲激光还可以作为电子结构及物态的有效调控手段。清华大学科研团队利用飞秒脉冲激光，在万亿分之一秒的超快时间尺度上拍摄电子结构随时间演化的“电影”，实现了非平衡态电子结构的测量和瞬时调控。利用该技术，科研团队首次在半导体材料黑磷中观测到瞬时能带调控，即黑磷的电子结构从平衡态的抛物线形状演化为“墨西哥帽”形状，成功利用飞秒激光改写了黑磷的“基因”。</w:t>
      </w:r>
      <w:r>
        <w:rPr>
          <w:rFonts w:hint="eastAsia" w:ascii="仿宋_GB2312" w:hAnsi="仿宋_GB2312" w:eastAsia="仿宋_GB2312" w:cs="仿宋_GB2312"/>
          <w:color w:val="auto"/>
          <w:kern w:val="2"/>
          <w:sz w:val="32"/>
          <w:szCs w:val="32"/>
          <w:lang w:val="en-US" w:eastAsia="zh-CN" w:bidi="ar-SA"/>
        </w:rPr>
        <w:t>这一重大科学发现，不仅拓展了非平衡态物理知识的前沿，还为未来超快时间尺度上的材料物性调控奠定了坚实基础，标志着中国在凝聚态物理和材料科学的非平衡态物理国际前沿研究领域取得了重要进展。</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重大科技成果</w:t>
      </w:r>
      <w:r>
        <w:rPr>
          <w:rFonts w:hint="eastAsia" w:ascii="方正黑体_GBK" w:hAnsi="方正黑体_GBK" w:eastAsia="方正黑体_GBK" w:cs="方正黑体_GBK"/>
          <w:color w:val="auto"/>
          <w:sz w:val="32"/>
          <w:szCs w:val="32"/>
          <w:lang w:val="en-US" w:eastAsia="zh-CN"/>
        </w:rPr>
        <w:t>五：</w:t>
      </w:r>
      <w:r>
        <w:rPr>
          <w:rFonts w:hint="eastAsia" w:ascii="方正黑体_GBK" w:hAnsi="方正黑体_GBK" w:eastAsia="方正黑体_GBK" w:cs="方正黑体_GBK"/>
          <w:color w:val="auto"/>
          <w:sz w:val="32"/>
          <w:szCs w:val="32"/>
          <w:lang w:eastAsia="zh-CN"/>
        </w:rPr>
        <w:t>人体细胞化学重编程体系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发布单位：北京大学</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C00000"/>
          <w:sz w:val="32"/>
          <w:szCs w:val="32"/>
          <w:lang w:val="en-US" w:eastAsia="zh-CN"/>
        </w:rPr>
      </w:pPr>
      <w:r>
        <w:rPr>
          <w:rFonts w:hint="default" w:ascii="仿宋_GB2312" w:hAnsi="仿宋_GB2312" w:eastAsia="仿宋_GB2312" w:cs="仿宋_GB2312"/>
          <w:b w:val="0"/>
          <w:bCs w:val="0"/>
          <w:color w:val="auto"/>
          <w:sz w:val="32"/>
          <w:szCs w:val="32"/>
          <w:lang w:val="en-US" w:eastAsia="zh-CN"/>
        </w:rPr>
        <w:t>多潜能干细胞具有无限</w:t>
      </w:r>
      <w:r>
        <w:rPr>
          <w:rFonts w:hint="eastAsia" w:ascii="仿宋_GB2312" w:hAnsi="仿宋_GB2312" w:cs="仿宋_GB2312"/>
          <w:b w:val="0"/>
          <w:bCs w:val="0"/>
          <w:color w:val="auto"/>
          <w:sz w:val="32"/>
          <w:szCs w:val="32"/>
          <w:lang w:val="en-US" w:eastAsia="zh-CN"/>
        </w:rPr>
        <w:t>自我更新和分化成生物体所有功能细胞类型的能力，这些神奇的特质使其在细胞治疗、药物筛选等领域具有广泛的应用价值，</w:t>
      </w:r>
      <w:r>
        <w:rPr>
          <w:rFonts w:hint="default" w:ascii="仿宋_GB2312" w:hAnsi="仿宋_GB2312" w:eastAsia="仿宋_GB2312" w:cs="仿宋_GB2312"/>
          <w:b w:val="0"/>
          <w:bCs w:val="0"/>
          <w:color w:val="auto"/>
          <w:sz w:val="32"/>
          <w:szCs w:val="32"/>
          <w:lang w:val="en-US" w:eastAsia="zh-CN"/>
        </w:rPr>
        <w:t>是再生医学领域最为关键的“种子细胞”</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北京大学</w:t>
      </w:r>
      <w:r>
        <w:rPr>
          <w:rFonts w:hint="eastAsia" w:ascii="仿宋_GB2312" w:hAnsi="仿宋_GB2312" w:eastAsia="仿宋_GB2312" w:cs="仿宋_GB2312"/>
          <w:b w:val="0"/>
          <w:bCs w:val="0"/>
          <w:color w:val="auto"/>
          <w:sz w:val="32"/>
          <w:szCs w:val="32"/>
          <w:lang w:eastAsia="zh-CN"/>
        </w:rPr>
        <w:t>科研团队</w:t>
      </w:r>
      <w:r>
        <w:rPr>
          <w:rFonts w:hint="eastAsia" w:ascii="仿宋_GB2312" w:hAnsi="仿宋_GB2312" w:eastAsia="仿宋_GB2312" w:cs="仿宋_GB2312"/>
          <w:b w:val="0"/>
          <w:bCs w:val="0"/>
          <w:color w:val="auto"/>
          <w:sz w:val="32"/>
          <w:szCs w:val="32"/>
        </w:rPr>
        <w:t>在国际上首次</w:t>
      </w:r>
      <w:r>
        <w:rPr>
          <w:rFonts w:hint="eastAsia" w:ascii="仿宋_GB2312" w:hAnsi="仿宋_GB2312" w:cs="仿宋_GB2312"/>
          <w:b w:val="0"/>
          <w:bCs w:val="0"/>
          <w:color w:val="auto"/>
          <w:sz w:val="32"/>
          <w:szCs w:val="32"/>
          <w:lang w:eastAsia="zh-CN"/>
        </w:rPr>
        <w:t>取得了使用化学小分子调控细胞命运的重大突破性成果。通过建立人体细胞化学重编程方法，</w:t>
      </w:r>
      <w:r>
        <w:rPr>
          <w:rFonts w:hint="default" w:ascii="仿宋_GB2312" w:hAnsi="仿宋_GB2312" w:eastAsia="仿宋_GB2312" w:cs="仿宋_GB2312"/>
          <w:b w:val="0"/>
          <w:bCs w:val="0"/>
          <w:color w:val="auto"/>
          <w:sz w:val="32"/>
          <w:szCs w:val="32"/>
          <w:lang w:val="en-US" w:eastAsia="zh-CN"/>
        </w:rPr>
        <w:t>实现了不同体细胞类型转变</w:t>
      </w:r>
      <w:r>
        <w:rPr>
          <w:rFonts w:hint="eastAsia" w:ascii="仿宋_GB2312" w:hAnsi="仿宋_GB2312" w:cs="仿宋_GB2312"/>
          <w:b w:val="0"/>
          <w:bCs w:val="0"/>
          <w:color w:val="auto"/>
          <w:sz w:val="32"/>
          <w:szCs w:val="32"/>
          <w:lang w:val="en-US" w:eastAsia="zh-CN"/>
        </w:rPr>
        <w:t>，将人的</w:t>
      </w:r>
      <w:r>
        <w:rPr>
          <w:rFonts w:hint="default" w:ascii="仿宋_GB2312" w:hAnsi="仿宋_GB2312" w:eastAsia="仿宋_GB2312" w:cs="仿宋_GB2312"/>
          <w:b w:val="0"/>
          <w:bCs w:val="0"/>
          <w:color w:val="auto"/>
          <w:sz w:val="32"/>
          <w:szCs w:val="32"/>
          <w:lang w:val="en-US" w:eastAsia="zh-CN"/>
        </w:rPr>
        <w:t>皮肤细胞</w:t>
      </w:r>
      <w:r>
        <w:rPr>
          <w:rFonts w:hint="eastAsia" w:ascii="仿宋_GB2312" w:hAnsi="仿宋_GB2312" w:cs="仿宋_GB2312"/>
          <w:b w:val="0"/>
          <w:bCs w:val="0"/>
          <w:color w:val="auto"/>
          <w:sz w:val="32"/>
          <w:szCs w:val="32"/>
          <w:lang w:val="en-US" w:eastAsia="zh-CN"/>
        </w:rPr>
        <w:t>转变为多潜能干细胞，并成功制备了胰岛细胞。</w:t>
      </w:r>
      <w:r>
        <w:rPr>
          <w:rFonts w:hint="default" w:ascii="仿宋_GB2312" w:hAnsi="仿宋_GB2312" w:eastAsia="仿宋_GB2312" w:cs="仿宋_GB2312"/>
          <w:b w:val="0"/>
          <w:bCs w:val="0"/>
          <w:color w:val="auto"/>
          <w:sz w:val="32"/>
          <w:szCs w:val="32"/>
          <w:lang w:val="en-US" w:eastAsia="zh-CN"/>
        </w:rPr>
        <w:t>与传统技术相比，</w:t>
      </w:r>
      <w:r>
        <w:rPr>
          <w:rFonts w:hint="eastAsia" w:ascii="仿宋_GB2312" w:hAnsi="仿宋_GB2312" w:cs="仿宋_GB2312"/>
          <w:b w:val="0"/>
          <w:bCs w:val="0"/>
          <w:color w:val="auto"/>
          <w:sz w:val="32"/>
          <w:szCs w:val="32"/>
          <w:lang w:val="en-US" w:eastAsia="zh-CN"/>
        </w:rPr>
        <w:t>化学重编程体系</w:t>
      </w:r>
      <w:r>
        <w:rPr>
          <w:rFonts w:hint="default" w:ascii="仿宋_GB2312" w:hAnsi="仿宋_GB2312" w:eastAsia="仿宋_GB2312" w:cs="仿宋_GB2312"/>
          <w:b w:val="0"/>
          <w:bCs w:val="0"/>
          <w:color w:val="auto"/>
          <w:sz w:val="32"/>
          <w:szCs w:val="32"/>
          <w:lang w:val="en-US" w:eastAsia="zh-CN"/>
        </w:rPr>
        <w:t>更加安全和简单、易于标准化、易于调控</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rPr>
        <w:t>解决了干细胞和再生医学发展的底层技术问题</w:t>
      </w:r>
      <w:r>
        <w:rPr>
          <w:rFonts w:hint="eastAsia" w:ascii="仿宋_GB2312" w:hAnsi="仿宋_GB2312" w:cs="仿宋_GB2312"/>
          <w:b w:val="0"/>
          <w:bCs w:val="0"/>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重大科技</w:t>
      </w:r>
      <w:r>
        <w:rPr>
          <w:rFonts w:hint="eastAsia" w:ascii="方正黑体_GBK" w:hAnsi="方正黑体_GBK" w:eastAsia="方正黑体_GBK" w:cs="方正黑体_GBK"/>
          <w:color w:val="auto"/>
          <w:sz w:val="32"/>
          <w:szCs w:val="32"/>
          <w:lang w:val="en-US" w:eastAsia="zh-CN"/>
        </w:rPr>
        <w:t>成果六：新一代量</w:t>
      </w:r>
      <w:r>
        <w:rPr>
          <w:rFonts w:hint="eastAsia" w:ascii="方正黑体_GBK" w:hAnsi="方正黑体_GBK" w:eastAsia="方正黑体_GBK" w:cs="方正黑体_GBK"/>
          <w:color w:val="auto"/>
          <w:sz w:val="32"/>
          <w:szCs w:val="32"/>
          <w:lang w:eastAsia="zh-CN"/>
        </w:rPr>
        <w:t>子计算云平台</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发布单位：北京量子信息科学研究院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eastAsia="zh-CN"/>
        </w:rPr>
      </w:pPr>
      <w:r>
        <w:rPr>
          <w:rFonts w:hint="eastAsia" w:ascii="仿宋_GB2312" w:hAnsi="仿宋_GB2312" w:eastAsia="仿宋_GB2312" w:cs="仿宋_GB2312"/>
          <w:b w:val="0"/>
          <w:bCs w:val="0"/>
          <w:color w:val="auto"/>
          <w:sz w:val="32"/>
          <w:szCs w:val="32"/>
        </w:rPr>
        <w:t>量子计算云平台是量子计算机和云计算技术的结合，是量子计算综合性能的展示。一个大规模稳定运行的量子计算云平台</w:t>
      </w:r>
      <w:r>
        <w:rPr>
          <w:rFonts w:hint="eastAsia" w:ascii="仿宋_GB2312"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在北京量子信息科学研究院诞生</w:t>
      </w:r>
      <w:r>
        <w:rPr>
          <w:rFonts w:hint="eastAsia" w:ascii="仿宋_GB2312" w:hAnsi="仿宋_GB2312" w:cs="仿宋_GB2312"/>
          <w:b w:val="0"/>
          <w:bCs w:val="0"/>
          <w:color w:val="auto"/>
          <w:sz w:val="32"/>
          <w:szCs w:val="32"/>
          <w:lang w:eastAsia="zh-CN"/>
        </w:rPr>
        <w:t>，命名为“量子未来</w:t>
      </w:r>
      <w:r>
        <w:rPr>
          <w:rFonts w:hint="eastAsia" w:ascii="仿宋_GB2312" w:hAnsi="仿宋_GB2312" w:cs="仿宋_GB2312"/>
          <w:b w:val="0"/>
          <w:bCs w:val="0"/>
          <w:color w:val="auto"/>
          <w:sz w:val="32"/>
          <w:szCs w:val="32"/>
          <w:lang w:val="en-US" w:eastAsia="zh-CN"/>
        </w:rPr>
        <w:t>-QUAFU</w:t>
      </w:r>
      <w:r>
        <w:rPr>
          <w:rFonts w:hint="eastAsia" w:ascii="仿宋_GB2312" w:hAnsi="仿宋_GB2312" w:cs="仿宋_GB2312"/>
          <w:b w:val="0"/>
          <w:bCs w:val="0"/>
          <w:color w:val="auto"/>
          <w:sz w:val="32"/>
          <w:szCs w:val="32"/>
          <w:lang w:eastAsia="zh-CN"/>
        </w:rPr>
        <w:t>”。该平台</w:t>
      </w:r>
      <w:r>
        <w:rPr>
          <w:rFonts w:hint="eastAsia" w:ascii="仿宋_GB2312" w:hAnsi="仿宋_GB2312" w:eastAsia="仿宋_GB2312" w:cs="仿宋_GB2312"/>
          <w:b w:val="0"/>
          <w:bCs w:val="0"/>
          <w:color w:val="auto"/>
          <w:kern w:val="2"/>
          <w:sz w:val="32"/>
          <w:szCs w:val="32"/>
          <w:lang w:val="en-US" w:eastAsia="zh-CN" w:bidi="ar-SA"/>
        </w:rPr>
        <w:t>上线了136、18、10个量子比特的超导量子芯片</w:t>
      </w:r>
      <w:r>
        <w:rPr>
          <w:rFonts w:hint="eastAsia" w:ascii="仿宋_GB2312" w:hAnsi="仿宋_GB2312" w:cs="仿宋_GB2312"/>
          <w:b w:val="0"/>
          <w:bCs w:val="0"/>
          <w:color w:val="auto"/>
          <w:kern w:val="2"/>
          <w:sz w:val="32"/>
          <w:szCs w:val="32"/>
          <w:lang w:val="en-US" w:eastAsia="zh-CN" w:bidi="ar-SA"/>
        </w:rPr>
        <w:t>，</w:t>
      </w:r>
      <w:r>
        <w:rPr>
          <w:rFonts w:hint="eastAsia" w:ascii="仿宋_GB2312" w:hAnsi="仿宋_GB2312" w:eastAsia="仿宋_GB2312" w:cs="仿宋_GB2312"/>
          <w:b w:val="0"/>
          <w:bCs w:val="0"/>
          <w:color w:val="auto"/>
          <w:kern w:val="2"/>
          <w:sz w:val="32"/>
          <w:szCs w:val="32"/>
          <w:lang w:val="en-US" w:eastAsia="zh-CN" w:bidi="ar-SA"/>
        </w:rPr>
        <w:t>是国内规模最大、单芯片比特数最高的云平台</w:t>
      </w:r>
      <w:r>
        <w:rPr>
          <w:rFonts w:hint="eastAsia" w:ascii="仿宋_GB2312" w:hAnsi="仿宋_GB2312" w:cs="仿宋_GB2312"/>
          <w:b w:val="0"/>
          <w:bCs w:val="0"/>
          <w:color w:val="auto"/>
          <w:kern w:val="2"/>
          <w:sz w:val="32"/>
          <w:szCs w:val="32"/>
          <w:lang w:val="en-US" w:eastAsia="zh-CN" w:bidi="ar-SA"/>
        </w:rPr>
        <w:t>，并</w:t>
      </w:r>
      <w:r>
        <w:rPr>
          <w:rFonts w:hint="eastAsia" w:ascii="仿宋_GB2312" w:hAnsi="仿宋_GB2312" w:cs="仿宋_GB2312"/>
          <w:b w:val="0"/>
          <w:bCs w:val="0"/>
          <w:color w:val="auto"/>
          <w:sz w:val="32"/>
          <w:szCs w:val="32"/>
          <w:lang w:eastAsia="zh-CN"/>
        </w:rPr>
        <w:t>实现了完全自主研发与国产化。该平台</w:t>
      </w:r>
      <w:r>
        <w:rPr>
          <w:rFonts w:hint="eastAsia" w:ascii="仿宋_GB2312" w:hAnsi="仿宋_GB2312" w:eastAsia="仿宋_GB2312" w:cs="仿宋_GB2312"/>
          <w:b w:val="0"/>
          <w:bCs w:val="0"/>
          <w:color w:val="auto"/>
          <w:kern w:val="2"/>
          <w:sz w:val="32"/>
          <w:szCs w:val="32"/>
          <w:lang w:val="en-US" w:eastAsia="zh-CN" w:bidi="ar-SA"/>
        </w:rPr>
        <w:t>兼容国际通用的开放量子汇编语言标准</w:t>
      </w:r>
      <w:r>
        <w:rPr>
          <w:rFonts w:hint="eastAsia" w:ascii="仿宋_GB2312" w:hAnsi="仿宋_GB2312" w:cs="仿宋_GB2312"/>
          <w:b w:val="0"/>
          <w:bCs w:val="0"/>
          <w:color w:val="auto"/>
          <w:kern w:val="2"/>
          <w:sz w:val="32"/>
          <w:szCs w:val="32"/>
          <w:lang w:val="en-US" w:eastAsia="zh-CN" w:bidi="ar-SA"/>
        </w:rPr>
        <w:t>，为用户提供了便于提交计算任务、开展重要科学研究</w:t>
      </w:r>
      <w:r>
        <w:rPr>
          <w:rFonts w:hint="eastAsia" w:ascii="仿宋_GB2312" w:hAnsi="仿宋_GB2312" w:eastAsia="仿宋_GB2312" w:cs="仿宋_GB2312"/>
          <w:b w:val="0"/>
          <w:bCs w:val="0"/>
          <w:color w:val="auto"/>
          <w:kern w:val="2"/>
          <w:sz w:val="32"/>
          <w:szCs w:val="32"/>
          <w:lang w:val="en-US" w:eastAsia="zh-CN" w:bidi="ar-SA"/>
        </w:rPr>
        <w:t>的量子计算平台。</w:t>
      </w:r>
      <w:r>
        <w:rPr>
          <w:rFonts w:hint="eastAsia" w:ascii="仿宋_GB2312" w:hAnsi="仿宋_GB2312" w:cs="仿宋_GB2312"/>
          <w:b w:val="0"/>
          <w:bCs w:val="0"/>
          <w:color w:val="auto"/>
          <w:kern w:val="2"/>
          <w:sz w:val="32"/>
          <w:szCs w:val="32"/>
          <w:lang w:val="en-US" w:eastAsia="zh-CN" w:bidi="ar-SA"/>
        </w:rPr>
        <w:t>该</w:t>
      </w:r>
      <w:r>
        <w:rPr>
          <w:rFonts w:hint="eastAsia" w:ascii="仿宋_GB2312" w:hAnsi="仿宋_GB2312" w:eastAsia="仿宋_GB2312" w:cs="仿宋_GB2312"/>
          <w:b w:val="0"/>
          <w:bCs w:val="0"/>
          <w:color w:val="auto"/>
          <w:sz w:val="32"/>
          <w:szCs w:val="32"/>
        </w:rPr>
        <w:t>平台</w:t>
      </w:r>
      <w:r>
        <w:rPr>
          <w:rFonts w:hint="eastAsia" w:ascii="仿宋_GB2312" w:hAnsi="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操控和读取精度</w:t>
      </w:r>
      <w:r>
        <w:rPr>
          <w:rFonts w:hint="eastAsia" w:ascii="仿宋_GB2312" w:hAnsi="仿宋_GB2312" w:cs="仿宋_GB2312"/>
          <w:b w:val="0"/>
          <w:bCs w:val="0"/>
          <w:color w:val="auto"/>
          <w:sz w:val="32"/>
          <w:szCs w:val="32"/>
          <w:lang w:eastAsia="zh-CN"/>
        </w:rPr>
        <w:t>超过</w:t>
      </w:r>
      <w:r>
        <w:rPr>
          <w:rFonts w:hint="eastAsia" w:ascii="仿宋_GB2312" w:hAnsi="仿宋_GB2312" w:eastAsia="仿宋_GB2312" w:cs="仿宋_GB2312"/>
          <w:b w:val="0"/>
          <w:bCs w:val="0"/>
          <w:color w:val="auto"/>
          <w:sz w:val="32"/>
          <w:szCs w:val="32"/>
          <w:lang w:val="en-US" w:eastAsia="zh-CN"/>
        </w:rPr>
        <w:t>98%，</w:t>
      </w:r>
      <w:r>
        <w:rPr>
          <w:rFonts w:hint="eastAsia" w:ascii="仿宋_GB2312" w:hAnsi="仿宋_GB2312" w:cs="仿宋_GB2312"/>
          <w:b w:val="0"/>
          <w:bCs w:val="0"/>
          <w:color w:val="auto"/>
          <w:sz w:val="32"/>
          <w:szCs w:val="32"/>
          <w:lang w:val="en-US" w:eastAsia="zh-CN"/>
        </w:rPr>
        <w:t>达到</w:t>
      </w:r>
      <w:r>
        <w:rPr>
          <w:rFonts w:hint="eastAsia" w:ascii="仿宋_GB2312" w:hAnsi="仿宋_GB2312" w:eastAsia="仿宋_GB2312" w:cs="仿宋_GB2312"/>
          <w:b w:val="0"/>
          <w:bCs w:val="0"/>
          <w:color w:val="auto"/>
          <w:sz w:val="32"/>
          <w:szCs w:val="32"/>
        </w:rPr>
        <w:t>国际先进水平</w:t>
      </w:r>
      <w:r>
        <w:rPr>
          <w:rFonts w:hint="eastAsia" w:ascii="仿宋_GB2312" w:hAnsi="仿宋_GB2312" w:cs="仿宋_GB2312"/>
          <w:b w:val="0"/>
          <w:bCs w:val="0"/>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color w:val="auto"/>
          <w:lang w:val="en-US" w:eastAsia="zh-CN"/>
        </w:rPr>
      </w:pPr>
      <w:r>
        <w:rPr>
          <w:rFonts w:hint="eastAsia" w:ascii="方正黑体_GBK" w:hAnsi="方正黑体_GBK" w:eastAsia="方正黑体_GBK" w:cs="方正黑体_GBK"/>
          <w:b w:val="0"/>
          <w:bCs w:val="0"/>
          <w:color w:val="auto"/>
          <w:lang w:val="en-US" w:eastAsia="zh-CN"/>
        </w:rPr>
        <w:t>重大科技成</w:t>
      </w:r>
      <w:r>
        <w:rPr>
          <w:rFonts w:hint="eastAsia" w:ascii="方正黑体_GBK" w:hAnsi="方正黑体_GBK" w:eastAsia="方正黑体_GBK" w:cs="方正黑体_GBK"/>
          <w:color w:val="auto"/>
          <w:sz w:val="32"/>
          <w:szCs w:val="32"/>
          <w:lang w:val="en-US" w:eastAsia="zh-CN"/>
        </w:rPr>
        <w:t>果七：新冠病</w:t>
      </w:r>
      <w:r>
        <w:rPr>
          <w:rFonts w:hint="eastAsia" w:ascii="方正黑体_GBK" w:hAnsi="方正黑体_GBK" w:eastAsia="方正黑体_GBK" w:cs="方正黑体_GBK"/>
          <w:b w:val="0"/>
          <w:bCs w:val="0"/>
          <w:color w:val="auto"/>
          <w:lang w:val="en-US" w:eastAsia="zh-CN"/>
        </w:rPr>
        <w:t>毒体液免疫逃逸机制与突变进化特征</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发布单位：昌平实验室</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color w:val="auto"/>
          <w:sz w:val="32"/>
          <w:szCs w:val="32"/>
          <w:lang w:val="en-US" w:eastAsia="zh-CN"/>
        </w:rPr>
      </w:pPr>
      <w:r>
        <w:rPr>
          <w:rFonts w:hint="eastAsia" w:ascii="仿宋_GB2312" w:hAnsi="仿宋_GB2312" w:cs="仿宋_GB2312"/>
          <w:b w:val="0"/>
          <w:bCs w:val="0"/>
          <w:color w:val="auto"/>
          <w:sz w:val="32"/>
          <w:szCs w:val="32"/>
          <w:lang w:val="en-US" w:eastAsia="zh-CN"/>
        </w:rPr>
        <w:t>昌平实验室科研团队</w:t>
      </w:r>
      <w:r>
        <w:rPr>
          <w:rFonts w:hint="eastAsia" w:ascii="仿宋_GB2312" w:hAnsi="仿宋_GB2312" w:eastAsia="仿宋_GB2312" w:cs="仿宋_GB2312"/>
          <w:color w:val="auto"/>
          <w:sz w:val="32"/>
          <w:szCs w:val="32"/>
          <w:lang w:val="en-US" w:eastAsia="zh-CN"/>
        </w:rPr>
        <w:t>自主开发</w:t>
      </w:r>
      <w:r>
        <w:rPr>
          <w:rFonts w:hint="eastAsia" w:ascii="仿宋_GB2312" w:hAnsi="仿宋_GB2312" w:cs="仿宋_GB2312"/>
          <w:color w:val="auto"/>
          <w:sz w:val="32"/>
          <w:szCs w:val="32"/>
          <w:lang w:val="en-US" w:eastAsia="zh-CN"/>
        </w:rPr>
        <w:t>了</w:t>
      </w:r>
      <w:r>
        <w:rPr>
          <w:rFonts w:hint="eastAsia" w:ascii="仿宋_GB2312" w:hAnsi="仿宋_GB2312" w:eastAsia="仿宋_GB2312" w:cs="仿宋_GB2312"/>
          <w:color w:val="auto"/>
          <w:sz w:val="32"/>
          <w:szCs w:val="32"/>
          <w:lang w:val="en-US" w:eastAsia="zh-CN"/>
        </w:rPr>
        <w:t>高通量深度突变扫描技术</w:t>
      </w:r>
      <w:r>
        <w:rPr>
          <w:rFonts w:hint="eastAsia" w:ascii="仿宋_GB2312" w:hAnsi="仿宋_GB2312" w:cs="仿宋_GB2312"/>
          <w:color w:val="auto"/>
          <w:sz w:val="32"/>
          <w:szCs w:val="32"/>
          <w:lang w:val="en-US" w:eastAsia="zh-CN"/>
        </w:rPr>
        <w:t>，破解了</w:t>
      </w:r>
      <w:r>
        <w:rPr>
          <w:rFonts w:hint="eastAsia" w:ascii="仿宋_GB2312" w:hAnsi="仿宋_GB2312" w:eastAsia="仿宋_GB2312" w:cs="仿宋_GB2312"/>
          <w:color w:val="auto"/>
          <w:sz w:val="32"/>
          <w:szCs w:val="32"/>
          <w:lang w:val="en-US" w:eastAsia="zh-CN"/>
        </w:rPr>
        <w:t>新冠奥密克戎</w:t>
      </w:r>
      <w:r>
        <w:rPr>
          <w:rFonts w:hint="eastAsia" w:ascii="仿宋_GB2312" w:hAnsi="仿宋_GB2312" w:cs="仿宋_GB2312"/>
          <w:color w:val="auto"/>
          <w:sz w:val="32"/>
          <w:szCs w:val="32"/>
          <w:lang w:val="en-US" w:eastAsia="zh-CN"/>
        </w:rPr>
        <w:t>毒株</w:t>
      </w:r>
      <w:r>
        <w:rPr>
          <w:rFonts w:hint="eastAsia" w:ascii="仿宋_GB2312" w:hAnsi="仿宋_GB2312" w:eastAsia="仿宋_GB2312" w:cs="仿宋_GB2312"/>
          <w:color w:val="auto"/>
          <w:sz w:val="32"/>
          <w:szCs w:val="32"/>
          <w:lang w:val="en-US" w:eastAsia="zh-CN"/>
        </w:rPr>
        <w:t>各个氨基酸突变对中和抗体的逃逸机制</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率先揭示</w:t>
      </w:r>
      <w:r>
        <w:rPr>
          <w:rFonts w:hint="eastAsia" w:ascii="仿宋_GB2312" w:hAnsi="仿宋_GB2312" w:cs="仿宋_GB2312"/>
          <w:color w:val="auto"/>
          <w:sz w:val="32"/>
          <w:szCs w:val="32"/>
          <w:lang w:val="en-US" w:eastAsia="zh-CN"/>
        </w:rPr>
        <w:t>了</w:t>
      </w:r>
      <w:r>
        <w:rPr>
          <w:rFonts w:hint="eastAsia" w:ascii="仿宋_GB2312" w:hAnsi="仿宋_GB2312" w:eastAsia="仿宋_GB2312" w:cs="仿宋_GB2312"/>
          <w:color w:val="auto"/>
          <w:sz w:val="32"/>
          <w:szCs w:val="32"/>
          <w:lang w:val="en-US" w:eastAsia="zh-CN"/>
        </w:rPr>
        <w:t>新冠病毒趋同进化现象</w:t>
      </w:r>
      <w:r>
        <w:rPr>
          <w:rFonts w:hint="eastAsia" w:ascii="仿宋_GB2312" w:hAnsi="仿宋_GB2312" w:cs="仿宋_GB2312"/>
          <w:color w:val="auto"/>
          <w:sz w:val="32"/>
          <w:szCs w:val="32"/>
          <w:lang w:val="en-US" w:eastAsia="zh-CN"/>
        </w:rPr>
        <w:t>及其原理，在国际上首次构建了</w:t>
      </w:r>
      <w:r>
        <w:rPr>
          <w:rFonts w:hint="eastAsia" w:ascii="仿宋_GB2312" w:hAnsi="仿宋_GB2312" w:eastAsia="仿宋_GB2312" w:cs="仿宋_GB2312"/>
          <w:color w:val="auto"/>
          <w:sz w:val="32"/>
          <w:szCs w:val="32"/>
          <w:lang w:val="en-US" w:eastAsia="zh-CN"/>
        </w:rPr>
        <w:t>新冠病毒</w:t>
      </w:r>
      <w:r>
        <w:rPr>
          <w:rFonts w:hint="eastAsia" w:ascii="仿宋_GB2312" w:hAnsi="仿宋_GB2312" w:cs="仿宋_GB2312"/>
          <w:color w:val="auto"/>
          <w:sz w:val="32"/>
          <w:szCs w:val="32"/>
          <w:lang w:val="en-US" w:eastAsia="zh-CN"/>
        </w:rPr>
        <w:t>受体结合域（</w:t>
      </w:r>
      <w:r>
        <w:rPr>
          <w:rFonts w:hint="eastAsia" w:ascii="仿宋_GB2312" w:hAnsi="仿宋_GB2312" w:eastAsia="仿宋_GB2312" w:cs="仿宋_GB2312"/>
          <w:color w:val="auto"/>
          <w:sz w:val="32"/>
          <w:szCs w:val="32"/>
          <w:lang w:val="en-US" w:eastAsia="zh-CN"/>
        </w:rPr>
        <w:t>RBD</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进化预测模型</w:t>
      </w:r>
      <w:r>
        <w:rPr>
          <w:rFonts w:hint="eastAsia" w:ascii="仿宋_GB2312" w:hAnsi="仿宋_GB2312" w:cs="仿宋_GB2312"/>
          <w:color w:val="auto"/>
          <w:sz w:val="32"/>
          <w:szCs w:val="32"/>
          <w:lang w:val="en-US" w:eastAsia="zh-CN"/>
        </w:rPr>
        <w:t>，并</w:t>
      </w:r>
      <w:r>
        <w:rPr>
          <w:rFonts w:hint="eastAsia" w:ascii="仿宋_GB2312" w:hAnsi="仿宋_GB2312" w:eastAsia="仿宋_GB2312" w:cs="仿宋_GB2312"/>
          <w:color w:val="auto"/>
          <w:sz w:val="32"/>
          <w:szCs w:val="32"/>
          <w:lang w:val="en-US" w:eastAsia="zh-CN"/>
        </w:rPr>
        <w:t>准确预测</w:t>
      </w:r>
      <w:r>
        <w:rPr>
          <w:rFonts w:hint="eastAsia" w:ascii="仿宋_GB2312" w:hAnsi="仿宋_GB2312" w:cs="仿宋_GB2312"/>
          <w:color w:val="auto"/>
          <w:sz w:val="32"/>
          <w:szCs w:val="32"/>
          <w:lang w:val="en-US" w:eastAsia="zh-CN"/>
        </w:rPr>
        <w:t>了相关毒株的未来进化趋势，</w:t>
      </w:r>
      <w:r>
        <w:rPr>
          <w:rFonts w:hint="eastAsia" w:ascii="仿宋_GB2312" w:hAnsi="仿宋_GB2312" w:eastAsia="仿宋_GB2312" w:cs="仿宋_GB2312"/>
          <w:color w:val="auto"/>
          <w:sz w:val="32"/>
          <w:szCs w:val="32"/>
          <w:lang w:val="en-US" w:eastAsia="zh-CN"/>
        </w:rPr>
        <w:t>为抗体药物和广谱疫苗</w:t>
      </w:r>
      <w:r>
        <w:rPr>
          <w:rFonts w:hint="eastAsia" w:ascii="仿宋_GB2312" w:hAnsi="仿宋_GB2312" w:cs="仿宋_GB2312"/>
          <w:color w:val="auto"/>
          <w:sz w:val="32"/>
          <w:szCs w:val="32"/>
          <w:lang w:val="en-US" w:eastAsia="zh-CN"/>
        </w:rPr>
        <w:t>研发提供了关键性理论与技术支撑。</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kern w:val="2"/>
          <w:sz w:val="32"/>
          <w:szCs w:val="32"/>
          <w:lang w:val="en-US" w:eastAsia="zh-CN" w:bidi="ar-SA"/>
        </w:rPr>
        <w:t>重大科技成果八：</w:t>
      </w:r>
      <w:r>
        <w:rPr>
          <w:rFonts w:hint="eastAsia" w:ascii="方正黑体_GBK" w:hAnsi="方正黑体_GBK" w:eastAsia="方正黑体_GBK" w:cs="方正黑体_GBK"/>
          <w:color w:val="auto"/>
          <w:sz w:val="32"/>
          <w:szCs w:val="32"/>
        </w:rPr>
        <w:t>陆相页岩油</w:t>
      </w:r>
      <w:r>
        <w:rPr>
          <w:rFonts w:hint="eastAsia" w:ascii="方正黑体_GBK" w:hAnsi="方正黑体_GBK" w:eastAsia="方正黑体_GBK" w:cs="方正黑体_GBK"/>
          <w:color w:val="auto"/>
          <w:sz w:val="32"/>
          <w:szCs w:val="32"/>
          <w:lang w:eastAsia="zh-CN"/>
        </w:rPr>
        <w:t>技术</w:t>
      </w:r>
      <w:r>
        <w:rPr>
          <w:rFonts w:hint="eastAsia" w:ascii="方正黑体_GBK" w:hAnsi="方正黑体_GBK" w:eastAsia="方正黑体_GBK" w:cs="方正黑体_GBK"/>
          <w:color w:val="auto"/>
          <w:sz w:val="32"/>
          <w:szCs w:val="32"/>
        </w:rPr>
        <w:t>革命及战略突破</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发布单位：</w:t>
      </w:r>
      <w:r>
        <w:rPr>
          <w:rFonts w:hint="eastAsia" w:ascii="方正黑体_GBK" w:hAnsi="方正黑体_GBK" w:eastAsia="方正黑体_GBK" w:cs="方正黑体_GBK"/>
          <w:color w:val="auto"/>
          <w:sz w:val="32"/>
          <w:szCs w:val="32"/>
          <w:lang w:val="en-US" w:eastAsia="zh-CN"/>
        </w:rPr>
        <w:t>国务院国资委、</w:t>
      </w:r>
      <w:r>
        <w:rPr>
          <w:rFonts w:hint="eastAsia" w:ascii="方正黑体_GBK" w:hAnsi="方正黑体_GBK" w:eastAsia="方正黑体_GBK" w:cs="方正黑体_GBK"/>
          <w:color w:val="auto"/>
          <w:sz w:val="32"/>
          <w:szCs w:val="32"/>
          <w:lang w:eastAsia="zh-CN"/>
        </w:rPr>
        <w:t>中国石油天然气集团有限公司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中国石油天然气集团有限公司创新陆相页岩油源内富集地质理论，创建了陆相页岩油赋存实验表征、“甜点区/段”评价、旋转导向优快钻井、水平井体积压裂开发、地下页岩加热转化超前储备</w:t>
      </w:r>
      <w:r>
        <w:rPr>
          <w:rFonts w:hint="eastAsia" w:ascii="仿宋_GB2312" w:hAnsi="仿宋_GB2312" w:eastAsia="仿宋_GB2312" w:cs="仿宋_GB2312"/>
          <w:b w:val="0"/>
          <w:bCs w:val="0"/>
          <w:color w:val="auto"/>
          <w:sz w:val="32"/>
          <w:szCs w:val="32"/>
          <w:lang w:eastAsia="zh-CN"/>
        </w:rPr>
        <w:t>等</w:t>
      </w:r>
      <w:r>
        <w:rPr>
          <w:rFonts w:hint="eastAsia" w:ascii="仿宋_GB2312" w:hAnsi="仿宋_GB2312" w:eastAsia="仿宋_GB2312" w:cs="仿宋_GB2312"/>
          <w:b w:val="0"/>
          <w:bCs w:val="0"/>
          <w:color w:val="auto"/>
          <w:sz w:val="32"/>
          <w:szCs w:val="32"/>
        </w:rPr>
        <w:t>五大关键技术体系，形成11项国家和行业标准、168件发明专利等一批自主知识产权，建设了松辽盆地古龙、鄂尔多斯盆地陇东、准噶尔盆地吉木萨尔等3个国家级示范区与基地，获得了一批重大勘探发现</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为</w:t>
      </w:r>
      <w:r>
        <w:rPr>
          <w:rFonts w:hint="eastAsia" w:ascii="仿宋_GB2312" w:hAnsi="仿宋_GB2312" w:eastAsia="仿宋_GB2312" w:cs="仿宋_GB2312"/>
          <w:b w:val="0"/>
          <w:bCs w:val="0"/>
          <w:color w:val="auto"/>
          <w:sz w:val="32"/>
          <w:szCs w:val="32"/>
          <w:lang w:eastAsia="zh-CN"/>
        </w:rPr>
        <w:t>国家</w:t>
      </w:r>
      <w:r>
        <w:rPr>
          <w:rFonts w:hint="eastAsia" w:ascii="仿宋_GB2312" w:hAnsi="仿宋_GB2312" w:eastAsia="仿宋_GB2312" w:cs="仿宋_GB2312"/>
          <w:b w:val="0"/>
          <w:bCs w:val="0"/>
          <w:color w:val="auto"/>
          <w:sz w:val="32"/>
          <w:szCs w:val="32"/>
        </w:rPr>
        <w:t>能源安全提供</w:t>
      </w:r>
      <w:r>
        <w:rPr>
          <w:rFonts w:hint="eastAsia" w:ascii="仿宋_GB2312" w:hAnsi="仿宋_GB2312" w:eastAsia="仿宋_GB2312" w:cs="仿宋_GB2312"/>
          <w:b w:val="0"/>
          <w:bCs w:val="0"/>
          <w:color w:val="auto"/>
          <w:sz w:val="32"/>
          <w:szCs w:val="32"/>
          <w:lang w:eastAsia="zh-CN"/>
        </w:rPr>
        <w:t>了</w:t>
      </w:r>
      <w:r>
        <w:rPr>
          <w:rFonts w:hint="eastAsia" w:ascii="仿宋_GB2312" w:hAnsi="仿宋_GB2312" w:eastAsia="仿宋_GB2312" w:cs="仿宋_GB2312"/>
          <w:b w:val="0"/>
          <w:bCs w:val="0"/>
          <w:color w:val="auto"/>
          <w:sz w:val="32"/>
          <w:szCs w:val="32"/>
        </w:rPr>
        <w:t>重要保障。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color w:val="auto"/>
          <w:lang w:val="en-US" w:eastAsia="zh-CN"/>
        </w:rPr>
      </w:pPr>
      <w:r>
        <w:rPr>
          <w:rFonts w:hint="eastAsia" w:ascii="方正黑体_GBK" w:hAnsi="方正黑体_GBK" w:eastAsia="方正黑体_GBK" w:cs="方正黑体_GBK"/>
          <w:color w:val="auto"/>
          <w:kern w:val="2"/>
          <w:sz w:val="32"/>
          <w:szCs w:val="32"/>
          <w:lang w:val="en-US" w:eastAsia="zh-CN" w:bidi="ar-SA"/>
        </w:rPr>
        <w:t>重大科技成果九：中国学科及前沿领域2035发展战略丛书</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auto"/>
          <w:kern w:val="2"/>
          <w:sz w:val="32"/>
          <w:szCs w:val="32"/>
          <w:lang w:val="en-US" w:eastAsia="zh-CN" w:bidi="ar-SA"/>
        </w:rPr>
      </w:pPr>
      <w:r>
        <w:rPr>
          <w:rFonts w:hint="eastAsia" w:ascii="方正黑体_GBK" w:hAnsi="方正黑体_GBK" w:eastAsia="方正黑体_GBK" w:cs="方正黑体_GBK"/>
          <w:color w:val="auto"/>
          <w:kern w:val="2"/>
          <w:sz w:val="32"/>
          <w:szCs w:val="32"/>
          <w:lang w:val="en-US" w:eastAsia="zh-CN" w:bidi="ar-SA"/>
        </w:rPr>
        <w:t>发布单位：中国科学院、国家自然科学基金委员会</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中国学科及前沿领域2035发展战略丛书”正式发布。丛书由中国科学院、国家自然科学基金委员会联合组织，邀请3000多位相关领域院士专家共同研究，历时三年形成38册系列书籍，研述了人工智能、合成科学、先进材料等中国学科及前沿领域的发展情况，将成为科学技术发展的重要参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重大科技成果</w:t>
      </w:r>
      <w:r>
        <w:rPr>
          <w:rFonts w:hint="eastAsia" w:ascii="方正黑体_GBK" w:hAnsi="方正黑体_GBK" w:eastAsia="方正黑体_GBK" w:cs="方正黑体_GBK"/>
          <w:color w:val="auto"/>
          <w:sz w:val="32"/>
          <w:szCs w:val="32"/>
          <w:lang w:eastAsia="zh-CN"/>
        </w:rPr>
        <w:t>十</w:t>
      </w:r>
      <w:r>
        <w:rPr>
          <w:rFonts w:hint="eastAsia" w:ascii="方正黑体_GBK" w:hAnsi="方正黑体_GBK" w:eastAsia="方正黑体_GBK" w:cs="方正黑体_GBK"/>
          <w:color w:val="auto"/>
          <w:sz w:val="32"/>
          <w:szCs w:val="32"/>
        </w:rPr>
        <w:t>：国际科技组织落地北京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发布单位：中国</w:t>
      </w:r>
      <w:r>
        <w:rPr>
          <w:rFonts w:hint="eastAsia" w:ascii="方正黑体_GBK" w:hAnsi="方正黑体_GBK" w:eastAsia="方正黑体_GBK" w:cs="方正黑体_GBK"/>
          <w:color w:val="auto"/>
          <w:sz w:val="32"/>
          <w:szCs w:val="32"/>
          <w:lang w:val="en-US" w:eastAsia="zh-CN"/>
        </w:rPr>
        <w:t>科学技术协会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当前</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国际氢能燃料电池协会、世界机器人合作组织、国际智能制造联盟、国际介科学组织、亚洲仿真联盟等国际科技组织陆续落地北京</w:t>
      </w:r>
      <w:r>
        <w:rPr>
          <w:rFonts w:hint="eastAsia" w:ascii="仿宋_GB2312" w:hAnsi="仿宋_GB2312" w:eastAsia="仿宋_GB2312" w:cs="仿宋_GB2312"/>
          <w:b w:val="0"/>
          <w:bCs w:val="0"/>
          <w:color w:val="auto"/>
          <w:sz w:val="32"/>
          <w:szCs w:val="32"/>
          <w:lang w:val="en-US" w:eastAsia="zh-CN"/>
        </w:rPr>
        <w:t>。北京将在朝阳区建设国际科技组织总部集聚区</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吸引更多国际组织落地</w:t>
      </w:r>
      <w:r>
        <w:rPr>
          <w:rFonts w:hint="eastAsia" w:ascii="仿宋_GB2312" w:hAnsi="仿宋_GB2312" w:eastAsia="仿宋_GB2312" w:cs="仿宋_GB2312"/>
          <w:b w:val="0"/>
          <w:bCs w:val="0"/>
          <w:color w:val="auto"/>
          <w:sz w:val="32"/>
          <w:szCs w:val="32"/>
          <w:lang w:eastAsia="zh-CN"/>
        </w:rPr>
        <w:t>，为</w:t>
      </w:r>
      <w:bookmarkStart w:id="0" w:name="_GoBack"/>
      <w:bookmarkEnd w:id="0"/>
      <w:r>
        <w:rPr>
          <w:rFonts w:hint="eastAsia" w:ascii="仿宋_GB2312" w:hAnsi="仿宋_GB2312" w:eastAsia="仿宋_GB2312" w:cs="仿宋_GB2312"/>
          <w:b w:val="0"/>
          <w:bCs w:val="0"/>
          <w:color w:val="auto"/>
          <w:sz w:val="32"/>
          <w:szCs w:val="32"/>
          <w:lang w:eastAsia="zh-CN"/>
        </w:rPr>
        <w:t>国际科技创新中心进一步融入全球创新网络赋能助力。</w:t>
      </w:r>
    </w:p>
    <w:sectPr>
      <w:footerReference r:id="rId3" w:type="default"/>
      <w:pgSz w:w="11906" w:h="16838"/>
      <w:pgMar w:top="2154"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3MzI2MTFlY2M1OTRhYmE4MjIyZWY2ZTE5MWFkOWMifQ=="/>
  </w:docVars>
  <w:rsids>
    <w:rsidRoot w:val="57E3939C"/>
    <w:rsid w:val="076A1B7E"/>
    <w:rsid w:val="0BD67D59"/>
    <w:rsid w:val="0D2465E1"/>
    <w:rsid w:val="0D7B64D1"/>
    <w:rsid w:val="11A83024"/>
    <w:rsid w:val="135170C8"/>
    <w:rsid w:val="14A145ED"/>
    <w:rsid w:val="15063063"/>
    <w:rsid w:val="17B70A56"/>
    <w:rsid w:val="18291542"/>
    <w:rsid w:val="1D46638F"/>
    <w:rsid w:val="1D4D182F"/>
    <w:rsid w:val="27764E7B"/>
    <w:rsid w:val="27D41AE5"/>
    <w:rsid w:val="2B0377D9"/>
    <w:rsid w:val="2CDA1BB0"/>
    <w:rsid w:val="2E893765"/>
    <w:rsid w:val="2F3CFAB8"/>
    <w:rsid w:val="36A8004F"/>
    <w:rsid w:val="37BBB1E2"/>
    <w:rsid w:val="39EB20B1"/>
    <w:rsid w:val="3BBEA1A4"/>
    <w:rsid w:val="3DEF0E27"/>
    <w:rsid w:val="3EE912B4"/>
    <w:rsid w:val="3F8639AA"/>
    <w:rsid w:val="3FBB78B9"/>
    <w:rsid w:val="3FF81676"/>
    <w:rsid w:val="46A35BB9"/>
    <w:rsid w:val="47A4492E"/>
    <w:rsid w:val="4C6A56AA"/>
    <w:rsid w:val="4EA75D95"/>
    <w:rsid w:val="53CC12F2"/>
    <w:rsid w:val="57E3939C"/>
    <w:rsid w:val="597E28A9"/>
    <w:rsid w:val="5A4A2C9E"/>
    <w:rsid w:val="5C050F4B"/>
    <w:rsid w:val="5CFB5436"/>
    <w:rsid w:val="5FF535CC"/>
    <w:rsid w:val="5FFB2245"/>
    <w:rsid w:val="604F7037"/>
    <w:rsid w:val="60996106"/>
    <w:rsid w:val="62491EFD"/>
    <w:rsid w:val="62C236F2"/>
    <w:rsid w:val="64420683"/>
    <w:rsid w:val="6509385A"/>
    <w:rsid w:val="67707925"/>
    <w:rsid w:val="67A316B5"/>
    <w:rsid w:val="67FAD022"/>
    <w:rsid w:val="68E32D21"/>
    <w:rsid w:val="69FD6AFA"/>
    <w:rsid w:val="6BBE8BC6"/>
    <w:rsid w:val="6FBE7073"/>
    <w:rsid w:val="704E2A69"/>
    <w:rsid w:val="71687B5B"/>
    <w:rsid w:val="767D0440"/>
    <w:rsid w:val="777F752F"/>
    <w:rsid w:val="77EA3DEA"/>
    <w:rsid w:val="785DE304"/>
    <w:rsid w:val="790A2A74"/>
    <w:rsid w:val="7ABC1E67"/>
    <w:rsid w:val="7B1637B4"/>
    <w:rsid w:val="7B737828"/>
    <w:rsid w:val="7B7509AC"/>
    <w:rsid w:val="7C7E814C"/>
    <w:rsid w:val="7D333F40"/>
    <w:rsid w:val="7DFFE03E"/>
    <w:rsid w:val="7E7F462F"/>
    <w:rsid w:val="7E7FE4A5"/>
    <w:rsid w:val="7EFDCBF2"/>
    <w:rsid w:val="7F171E28"/>
    <w:rsid w:val="7FF38B91"/>
    <w:rsid w:val="7FFB438F"/>
    <w:rsid w:val="7FFEC992"/>
    <w:rsid w:val="97BD95CC"/>
    <w:rsid w:val="98DDAE32"/>
    <w:rsid w:val="9FF6658D"/>
    <w:rsid w:val="AF9F4627"/>
    <w:rsid w:val="B03F2490"/>
    <w:rsid w:val="B0F3A3DD"/>
    <w:rsid w:val="B5754EF7"/>
    <w:rsid w:val="BAFEF9E8"/>
    <w:rsid w:val="BBFF02B5"/>
    <w:rsid w:val="BFF10E0A"/>
    <w:rsid w:val="BFFF7176"/>
    <w:rsid w:val="C6FCA8B4"/>
    <w:rsid w:val="C7BB9B63"/>
    <w:rsid w:val="CC7F0B0E"/>
    <w:rsid w:val="D6F5D3AD"/>
    <w:rsid w:val="D7C7A2DC"/>
    <w:rsid w:val="DDBF9841"/>
    <w:rsid w:val="DEFFC096"/>
    <w:rsid w:val="E6F75CEF"/>
    <w:rsid w:val="E72D272A"/>
    <w:rsid w:val="EB67CCD6"/>
    <w:rsid w:val="EE3C0EEA"/>
    <w:rsid w:val="EFEE17BC"/>
    <w:rsid w:val="F3F74179"/>
    <w:rsid w:val="F7B7480E"/>
    <w:rsid w:val="F7B7A8AA"/>
    <w:rsid w:val="FBB52A10"/>
    <w:rsid w:val="FBDDD381"/>
    <w:rsid w:val="FCDF815A"/>
    <w:rsid w:val="FE7A71C7"/>
    <w:rsid w:val="FFB5D8A5"/>
    <w:rsid w:val="FFF74EC4"/>
    <w:rsid w:val="FFFBED13"/>
    <w:rsid w:val="FFFF8F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paragraph" w:styleId="4">
    <w:name w:val="heading 4"/>
    <w:basedOn w:val="1"/>
    <w:next w:val="1"/>
    <w:unhideWhenUsed/>
    <w:qFormat/>
    <w:uiPriority w:val="9"/>
    <w:pPr>
      <w:keepNext/>
      <w:keepLines/>
      <w:spacing w:before="280" w:after="290" w:line="376" w:lineRule="atLeast"/>
      <w:outlineLvl w:val="3"/>
    </w:pPr>
    <w:rPr>
      <w:rFonts w:ascii="Calibri Light" w:hAnsi="Calibri Light" w:eastAsia="宋体" w:cs="Times New Roman"/>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200" w:firstLineChars="200"/>
    </w:pPr>
    <w:rPr>
      <w:rFonts w:eastAsia="仿宋_GB2312"/>
      <w:sz w:val="32"/>
    </w:rPr>
  </w:style>
  <w:style w:type="paragraph" w:styleId="5">
    <w:name w:val="Body Text Indent"/>
    <w:basedOn w:val="1"/>
    <w:unhideWhenUsed/>
    <w:qFormat/>
    <w:uiPriority w:val="99"/>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00"/>
        <w:tab w:val="left" w:pos="1820"/>
        <w:tab w:val="left" w:pos="2740"/>
        <w:tab w:val="left" w:pos="3660"/>
        <w:tab w:val="left" w:pos="4580"/>
        <w:tab w:val="left" w:pos="5480"/>
        <w:tab w:val="left" w:pos="6400"/>
        <w:tab w:val="left" w:pos="7320"/>
        <w:tab w:val="left" w:pos="8240"/>
        <w:tab w:val="left" w:pos="9160"/>
        <w:tab w:val="left" w:pos="10060"/>
        <w:tab w:val="left" w:pos="10980"/>
        <w:tab w:val="left" w:pos="11900"/>
        <w:tab w:val="left" w:pos="12820"/>
        <w:tab w:val="left" w:pos="13740"/>
        <w:tab w:val="left" w:pos="14640"/>
      </w:tabs>
      <w:jc w:val="left"/>
    </w:pPr>
    <w:rPr>
      <w:rFonts w:ascii="宋体" w:hAnsi="宋体" w:cs="宋体"/>
      <w:kern w:val="0"/>
      <w:sz w:val="24"/>
    </w:rPr>
  </w:style>
  <w:style w:type="paragraph" w:styleId="9">
    <w:name w:val="Normal (Web)"/>
    <w:basedOn w:val="1"/>
    <w:qFormat/>
    <w:uiPriority w:val="0"/>
    <w:rPr>
      <w:sz w:val="24"/>
    </w:rPr>
  </w:style>
  <w:style w:type="paragraph" w:styleId="10">
    <w:name w:val="Body Text First Indent 2"/>
    <w:basedOn w:val="5"/>
    <w:qFormat/>
    <w:uiPriority w:val="99"/>
    <w:pPr>
      <w:spacing w:after="0"/>
      <w:ind w:left="0" w:leftChars="0" w:firstLine="420"/>
    </w:pPr>
  </w:style>
  <w:style w:type="character" w:styleId="13">
    <w:name w:val="Emphasis"/>
    <w:basedOn w:val="12"/>
    <w:qFormat/>
    <w:uiPriority w:val="0"/>
    <w:rPr>
      <w:i/>
    </w:rPr>
  </w:style>
  <w:style w:type="paragraph" w:customStyle="1" w:styleId="14">
    <w:name w:val="三级标题"/>
    <w:basedOn w:val="4"/>
    <w:qFormat/>
    <w:uiPriority w:val="0"/>
    <w:pPr>
      <w:spacing w:before="0" w:after="0" w:line="560" w:lineRule="exact"/>
    </w:pPr>
    <w:rPr>
      <w:rFonts w:ascii="Times New Roman" w:hAnsi="Times New Roman" w:eastAsia="楷体_GB2312" w:cs="Times New Roman"/>
      <w:b w:val="0"/>
      <w:color w:val="000000"/>
      <w:sz w:val="32"/>
      <w:szCs w:val="4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2421</Words>
  <Characters>2469</Characters>
  <Lines>0</Lines>
  <Paragraphs>0</Paragraphs>
  <TotalTime>7</TotalTime>
  <ScaleCrop>false</ScaleCrop>
  <LinksUpToDate>false</LinksUpToDate>
  <CharactersWithSpaces>2469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2023-04-17T09:15:00Z</dcterms:created>
  <dc:creator>user</dc:creator>
  <cp:lastModifiedBy>何琳的本</cp:lastModifiedBy>
  <cp:lastPrinted>2023-04-30T22:17:00Z</cp:lastPrinted>
  <dcterms:modified xsi:type="dcterms:W3CDTF">2023-05-23T14:17:34Z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0D20B2442060D3C1A8CA6C64478F3245_43</vt:lpwstr>
  </property>
</Properties>
</file>