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B167A" w14:textId="77777777" w:rsidR="004D26F7" w:rsidRPr="000D44C7" w:rsidRDefault="004D26F7" w:rsidP="00DD625E">
      <w:pPr>
        <w:jc w:val="center"/>
        <w:rPr>
          <w:rFonts w:ascii="等线" w:eastAsia="等线" w:hAnsi="等线"/>
          <w:b/>
          <w:bCs/>
          <w:sz w:val="32"/>
          <w:szCs w:val="32"/>
        </w:rPr>
      </w:pPr>
      <w:r w:rsidRPr="000D44C7">
        <w:rPr>
          <w:rFonts w:ascii="等线" w:eastAsia="等线" w:hAnsi="等线" w:hint="eastAsia"/>
          <w:b/>
          <w:bCs/>
          <w:sz w:val="32"/>
          <w:szCs w:val="32"/>
        </w:rPr>
        <w:t>关于诺诚健华</w:t>
      </w:r>
    </w:p>
    <w:p w14:paraId="368301CD" w14:textId="6288741C" w:rsidR="00A7696E" w:rsidRPr="000D44C7" w:rsidRDefault="004D26F7" w:rsidP="004D26F7">
      <w:pPr>
        <w:rPr>
          <w:rFonts w:ascii="等线" w:eastAsia="等线" w:hAnsi="等线"/>
        </w:rPr>
      </w:pPr>
      <w:r w:rsidRPr="000D44C7">
        <w:rPr>
          <w:rFonts w:ascii="等线" w:eastAsia="等线" w:hAnsi="等线" w:hint="eastAsia"/>
        </w:rPr>
        <w:t>诺诚健华</w:t>
      </w:r>
      <w:r w:rsidR="00FE5793" w:rsidRPr="000D44C7">
        <w:rPr>
          <w:rFonts w:ascii="等线" w:eastAsia="等线" w:hAnsi="等线" w:hint="eastAsia"/>
        </w:rPr>
        <w:t>（上交所代码：</w:t>
      </w:r>
      <w:r w:rsidR="00FE5793" w:rsidRPr="000D44C7">
        <w:rPr>
          <w:rFonts w:ascii="等线" w:eastAsia="等线" w:hAnsi="等线"/>
        </w:rPr>
        <w:t>688428；香港联交所代码：09969）</w:t>
      </w:r>
      <w:r w:rsidRPr="000D44C7">
        <w:rPr>
          <w:rFonts w:ascii="等线" w:eastAsia="等线" w:hAnsi="等线" w:hint="eastAsia"/>
        </w:rPr>
        <w:t>于2015年由世界著名结构生物学家施一公院士和生物医药行业卓越的科学家兼企业家崔霁松博士联合创立。作为一家植根于中国且具有全球视野的新药创制公司，诺诚健华专注于恶性肿瘤和自身免疫性疾病的创新药研究和开发。诺诚健华以“科学驱动创新</w:t>
      </w:r>
      <w:r w:rsidRPr="000D44C7">
        <w:rPr>
          <w:rFonts w:ascii="等线" w:eastAsia="等线" w:hAnsi="等线"/>
        </w:rPr>
        <w:t xml:space="preserve"> 患者所需为本”为价值理念，积极融入中国蓬勃发展的生物医药发展浪潮之中，并携手业界同仁一起推动中国生物医药行业的发展。</w:t>
      </w:r>
      <w:r w:rsidRPr="000D44C7">
        <w:rPr>
          <w:rFonts w:ascii="等线" w:eastAsia="等线" w:hAnsi="等线" w:hint="eastAsia"/>
        </w:rPr>
        <w:t>经过</w:t>
      </w:r>
      <w:r w:rsidR="00DD625E" w:rsidRPr="000D44C7">
        <w:rPr>
          <w:rFonts w:ascii="等线" w:eastAsia="等线" w:hAnsi="等线" w:hint="eastAsia"/>
        </w:rPr>
        <w:t>七年</w:t>
      </w:r>
      <w:r w:rsidR="000D44C7" w:rsidRPr="000D44C7">
        <w:rPr>
          <w:rFonts w:ascii="等线" w:eastAsia="等线" w:hAnsi="等线" w:hint="eastAsia"/>
        </w:rPr>
        <w:t>多</w:t>
      </w:r>
      <w:r w:rsidRPr="000D44C7">
        <w:rPr>
          <w:rFonts w:ascii="等线" w:eastAsia="等线" w:hAnsi="等线" w:hint="eastAsia"/>
        </w:rPr>
        <w:t>的坚实发展，公司在</w:t>
      </w:r>
      <w:r w:rsidRPr="000D44C7">
        <w:rPr>
          <w:rFonts w:ascii="等线" w:eastAsia="等线" w:hAnsi="等线"/>
        </w:rPr>
        <w:t>各方面取得重大进展。在疫情爆发和美股多次熔断的情况下，</w:t>
      </w:r>
      <w:r w:rsidRPr="000D44C7">
        <w:rPr>
          <w:rFonts w:ascii="等线" w:eastAsia="等线" w:hAnsi="等线" w:hint="eastAsia"/>
        </w:rPr>
        <w:t>诺诚健华</w:t>
      </w:r>
      <w:r w:rsidRPr="000D44C7">
        <w:rPr>
          <w:rFonts w:ascii="等线" w:eastAsia="等线" w:hAnsi="等线"/>
        </w:rPr>
        <w:t>于2020年3月23日成功在港交所上市，成为2020年港交所生物医药第一股，由此拉开中国生物医药公司</w:t>
      </w:r>
      <w:r w:rsidR="00FD0085" w:rsidRPr="000D44C7">
        <w:rPr>
          <w:rFonts w:ascii="等线" w:eastAsia="等线" w:hAnsi="等线" w:hint="eastAsia"/>
        </w:rPr>
        <w:t>当年</w:t>
      </w:r>
      <w:r w:rsidRPr="000D44C7">
        <w:rPr>
          <w:rFonts w:ascii="等线" w:eastAsia="等线" w:hAnsi="等线"/>
        </w:rPr>
        <w:t>在港交所上市的大幕</w:t>
      </w:r>
      <w:r w:rsidR="00990FFB">
        <w:rPr>
          <w:rFonts w:ascii="等线" w:eastAsia="等线" w:hAnsi="等线" w:hint="eastAsia"/>
        </w:rPr>
        <w:t>，2022年9月，诺诚健华成功登陆上交所科创板，由此开启A+H两地上市新征程；</w:t>
      </w:r>
      <w:r w:rsidRPr="000D44C7">
        <w:rPr>
          <w:rFonts w:ascii="等线" w:eastAsia="等线" w:hAnsi="等线" w:hint="eastAsia"/>
        </w:rPr>
        <w:t>诺诚健华已经打造</w:t>
      </w:r>
      <w:r w:rsidR="00DD625E" w:rsidRPr="000D44C7">
        <w:rPr>
          <w:rFonts w:ascii="等线" w:eastAsia="等线" w:hAnsi="等线" w:hint="eastAsia"/>
        </w:rPr>
        <w:t>了</w:t>
      </w:r>
      <w:r w:rsidRPr="000D44C7">
        <w:rPr>
          <w:rFonts w:ascii="等线" w:eastAsia="等线" w:hAnsi="等线" w:hint="eastAsia"/>
        </w:rPr>
        <w:t>丰富的产品管线，涵盖血液瘤、实体瘤和自身免疫性疾病。国家“重大新药创制”专项成果——BTK抑制剂宜诺凯®（奥布替尼）于2020年底在中国附条件获批适用于两项适应症并于2021年底纳入国家医保；</w:t>
      </w:r>
      <w:r w:rsidR="000D44C7" w:rsidRPr="000D44C7">
        <w:rPr>
          <w:rFonts w:ascii="等线" w:eastAsia="等线" w:hAnsi="等线"/>
        </w:rPr>
        <w:t>2022年底在新加坡获批上市、2023年4月获批第三项适应症填补国内空白</w:t>
      </w:r>
      <w:r w:rsidRPr="000D44C7">
        <w:rPr>
          <w:rFonts w:ascii="等线" w:eastAsia="等线" w:hAnsi="等线" w:hint="eastAsia"/>
        </w:rPr>
        <w:t>；广州生产基地一期项目竣工并已启动二期项目建设，并于2022年6月30日获批商业化生产奥布替尼。</w:t>
      </w:r>
      <w:r w:rsidR="00DD625E" w:rsidRPr="000D44C7">
        <w:rPr>
          <w:rFonts w:ascii="等线" w:eastAsia="等线" w:hAnsi="等线" w:hint="eastAsia"/>
        </w:rPr>
        <w:t>北京创新药基地已经开始动工建设。</w:t>
      </w:r>
      <w:r w:rsidRPr="000D44C7">
        <w:rPr>
          <w:rFonts w:ascii="等线" w:eastAsia="等线" w:hAnsi="等线" w:hint="eastAsia"/>
        </w:rPr>
        <w:t>在具有丰富研发、生产和商业化经验的管理团队的带领下，诺诚健华已构建了从源头创新、临床开发、生产到商业化的全产业链平台</w:t>
      </w:r>
      <w:r w:rsidR="002D44F9" w:rsidRPr="000D44C7">
        <w:rPr>
          <w:rFonts w:ascii="等线" w:eastAsia="等线" w:hAnsi="等线" w:hint="eastAsia"/>
        </w:rPr>
        <w:t>，致力于</w:t>
      </w:r>
      <w:r w:rsidRPr="000D44C7">
        <w:rPr>
          <w:rFonts w:ascii="等线" w:eastAsia="等线" w:hAnsi="等线" w:hint="eastAsia"/>
        </w:rPr>
        <w:t>为全世界肿瘤和自身免疫性疾病患者开发并提供创新疗法。</w:t>
      </w:r>
    </w:p>
    <w:p w14:paraId="316BCD30" w14:textId="77777777" w:rsidR="00A7696E" w:rsidRPr="000D44C7" w:rsidRDefault="00A7696E" w:rsidP="004D26F7">
      <w:pPr>
        <w:rPr>
          <w:rFonts w:ascii="等线" w:eastAsia="等线" w:hAnsi="等线"/>
        </w:rPr>
      </w:pPr>
    </w:p>
    <w:p w14:paraId="4992940B" w14:textId="2370F80D" w:rsidR="004D26F7" w:rsidRPr="000D44C7" w:rsidRDefault="004D26F7" w:rsidP="004D26F7">
      <w:pPr>
        <w:rPr>
          <w:rFonts w:ascii="等线" w:eastAsia="等线" w:hAnsi="等线"/>
        </w:rPr>
      </w:pPr>
      <w:r w:rsidRPr="000D44C7">
        <w:rPr>
          <w:rFonts w:ascii="等线" w:eastAsia="等线" w:hAnsi="等线" w:hint="eastAsia"/>
        </w:rPr>
        <w:lastRenderedPageBreak/>
        <w:t>诺诚健华创新药布局聚焦于具有广阔市场空间的肿瘤与自身免疫性疾病领域，侧重于构建具有协同效应的创新疗法。</w:t>
      </w:r>
      <w:r w:rsidR="00FE7603" w:rsidRPr="000D44C7">
        <w:rPr>
          <w:rFonts w:ascii="等线" w:eastAsia="等线" w:hAnsi="等线" w:hint="eastAsia"/>
        </w:rPr>
        <w:t>目前，</w:t>
      </w:r>
      <w:r w:rsidR="005C31F8" w:rsidRPr="000D44C7">
        <w:rPr>
          <w:rFonts w:ascii="等线" w:eastAsia="等线" w:hAnsi="等线" w:hint="eastAsia"/>
        </w:rPr>
        <w:t>诺诚健华</w:t>
      </w:r>
      <w:r w:rsidR="00FE5793" w:rsidRPr="000D44C7">
        <w:rPr>
          <w:rFonts w:ascii="等线" w:eastAsia="等线" w:hAnsi="等线" w:hint="eastAsia"/>
        </w:rPr>
        <w:t>打造了丰富的产品管线，奥布替尼处于商业化阶段，</w:t>
      </w:r>
      <w:r w:rsidR="00FE5793" w:rsidRPr="000D44C7">
        <w:rPr>
          <w:rFonts w:ascii="等线" w:eastAsia="等线" w:hAnsi="等线"/>
        </w:rPr>
        <w:t>tafasitamab已获批在博鳌作为临床急需进口药品使用</w:t>
      </w:r>
      <w:r w:rsidR="005C31F8" w:rsidRPr="000D44C7">
        <w:rPr>
          <w:rFonts w:ascii="等线" w:eastAsia="等线" w:hAnsi="等线" w:hint="eastAsia"/>
        </w:rPr>
        <w:t>，</w:t>
      </w:r>
      <w:r w:rsidR="005C31F8" w:rsidRPr="000D44C7">
        <w:rPr>
          <w:rFonts w:ascii="等线" w:eastAsia="等线" w:hAnsi="等线"/>
        </w:rPr>
        <w:t>1</w:t>
      </w:r>
      <w:r w:rsidR="00FE5793" w:rsidRPr="000D44C7">
        <w:rPr>
          <w:rFonts w:ascii="等线" w:eastAsia="等线" w:hAnsi="等线" w:hint="eastAsia"/>
        </w:rPr>
        <w:t>3</w:t>
      </w:r>
      <w:r w:rsidR="005C31F8" w:rsidRPr="000D44C7">
        <w:rPr>
          <w:rFonts w:ascii="等线" w:eastAsia="等线" w:hAnsi="等线"/>
        </w:rPr>
        <w:t>款产品处于 I/II/III 期临床试验阶段，</w:t>
      </w:r>
      <w:r w:rsidR="00FE5793" w:rsidRPr="000D44C7">
        <w:rPr>
          <w:rFonts w:ascii="等线" w:eastAsia="等线" w:hAnsi="等线" w:hint="eastAsia"/>
        </w:rPr>
        <w:t>多</w:t>
      </w:r>
      <w:r w:rsidR="005C31F8" w:rsidRPr="000D44C7">
        <w:rPr>
          <w:rFonts w:ascii="等线" w:eastAsia="等线" w:hAnsi="等线"/>
        </w:rPr>
        <w:t>款产品处于临床前阶段</w:t>
      </w:r>
      <w:r w:rsidR="005C31F8" w:rsidRPr="000D44C7">
        <w:rPr>
          <w:rFonts w:ascii="等线" w:eastAsia="等线" w:hAnsi="等线" w:hint="eastAsia"/>
        </w:rPr>
        <w:t>。</w:t>
      </w:r>
      <w:r w:rsidRPr="000D44C7">
        <w:rPr>
          <w:rFonts w:ascii="等线" w:eastAsia="等线" w:hAnsi="等线" w:hint="eastAsia"/>
        </w:rPr>
        <w:t>在血液瘤方面，公司拥有奥布替尼（</w:t>
      </w:r>
      <w:r w:rsidRPr="000D44C7">
        <w:rPr>
          <w:rFonts w:ascii="等线" w:eastAsia="等线" w:hAnsi="等线"/>
        </w:rPr>
        <w:t>BTK 抑制剂）、</w:t>
      </w:r>
      <w:r w:rsidR="00DD625E" w:rsidRPr="000D44C7">
        <w:rPr>
          <w:rFonts w:ascii="等线" w:eastAsia="等线" w:hAnsi="等线" w:hint="eastAsia"/>
        </w:rPr>
        <w:t>t</w:t>
      </w:r>
      <w:r w:rsidRPr="000D44C7">
        <w:rPr>
          <w:rFonts w:ascii="等线" w:eastAsia="等线" w:hAnsi="等线"/>
        </w:rPr>
        <w:t>afasitamab（靶向 CD19 的单抗）</w:t>
      </w:r>
      <w:r w:rsidR="00FE7603" w:rsidRPr="000D44C7">
        <w:rPr>
          <w:rFonts w:ascii="等线" w:eastAsia="等线" w:hAnsi="等线" w:hint="eastAsia"/>
        </w:rPr>
        <w:t>、</w:t>
      </w:r>
      <w:r w:rsidRPr="000D44C7">
        <w:rPr>
          <w:rFonts w:ascii="等线" w:eastAsia="等线" w:hAnsi="等线"/>
        </w:rPr>
        <w:t>ICP-B02 （CD20xCD3双特异性抗体）</w:t>
      </w:r>
      <w:r w:rsidR="00FE7603" w:rsidRPr="000D44C7">
        <w:rPr>
          <w:rFonts w:ascii="等线" w:eastAsia="等线" w:hAnsi="等线" w:hint="eastAsia"/>
        </w:rPr>
        <w:t>、</w:t>
      </w:r>
      <w:r w:rsidR="00FE7603" w:rsidRPr="000D44C7">
        <w:rPr>
          <w:rFonts w:ascii="等线" w:eastAsia="等线" w:hAnsi="等线"/>
        </w:rPr>
        <w:t>ICP-490（CRBN E3 连接酶调节剂）</w:t>
      </w:r>
      <w:r w:rsidR="00FE7603" w:rsidRPr="000D44C7">
        <w:rPr>
          <w:rFonts w:ascii="等线" w:eastAsia="等线" w:hAnsi="等线" w:hint="eastAsia"/>
        </w:rPr>
        <w:t>和ICP-248（BCL2抑制剂）</w:t>
      </w:r>
      <w:r w:rsidRPr="000D44C7">
        <w:rPr>
          <w:rFonts w:ascii="等线" w:eastAsia="等线" w:hAnsi="等线"/>
        </w:rPr>
        <w:t>等具备高度差异化竞争优势及协同效应的血液瘤治疗产品，其中奥布替尼已获得国家药监局附条件批准上市用于治疗复发或难治</w:t>
      </w:r>
      <w:r w:rsidR="002D44F9" w:rsidRPr="000D44C7">
        <w:rPr>
          <w:rFonts w:ascii="等线" w:eastAsia="等线" w:hAnsi="等线" w:hint="eastAsia"/>
        </w:rPr>
        <w:t>性</w:t>
      </w:r>
      <w:r w:rsidR="000D44C7" w:rsidRPr="000D44C7">
        <w:rPr>
          <w:rFonts w:ascii="等线" w:eastAsia="等线" w:hAnsi="等线" w:hint="eastAsia"/>
        </w:rPr>
        <w:t>慢性淋巴细胞白血病（</w:t>
      </w:r>
      <w:r w:rsidR="000D44C7" w:rsidRPr="000D44C7">
        <w:rPr>
          <w:rFonts w:ascii="等线" w:eastAsia="等线" w:hAnsi="等线"/>
        </w:rPr>
        <w:t>CLL）/小淋巴细胞淋巴瘤（SLL）</w:t>
      </w:r>
      <w:r w:rsidR="000D44C7" w:rsidRPr="000D44C7">
        <w:rPr>
          <w:rFonts w:ascii="等线" w:eastAsia="等线" w:hAnsi="等线" w:hint="eastAsia"/>
        </w:rPr>
        <w:t>以</w:t>
      </w:r>
      <w:r w:rsidRPr="000D44C7">
        <w:rPr>
          <w:rFonts w:ascii="等线" w:eastAsia="等线" w:hAnsi="等线"/>
        </w:rPr>
        <w:t>及复发或难治性</w:t>
      </w:r>
      <w:r w:rsidR="000D44C7" w:rsidRPr="000D44C7">
        <w:rPr>
          <w:rFonts w:ascii="等线" w:eastAsia="等线" w:hAnsi="等线" w:hint="eastAsia"/>
        </w:rPr>
        <w:t>套细胞淋巴瘤（</w:t>
      </w:r>
      <w:r w:rsidRPr="000D44C7">
        <w:rPr>
          <w:rFonts w:ascii="等线" w:eastAsia="等线" w:hAnsi="等线"/>
        </w:rPr>
        <w:t>MCL</w:t>
      </w:r>
      <w:r w:rsidR="000D44C7" w:rsidRPr="000D44C7">
        <w:rPr>
          <w:rFonts w:ascii="等线" w:eastAsia="等线" w:hAnsi="等线" w:hint="eastAsia"/>
        </w:rPr>
        <w:t>）</w:t>
      </w:r>
      <w:r w:rsidR="00DD625E" w:rsidRPr="000D44C7">
        <w:rPr>
          <w:rFonts w:ascii="等线" w:eastAsia="等线" w:hAnsi="等线" w:hint="eastAsia"/>
        </w:rPr>
        <w:t>，</w:t>
      </w:r>
      <w:r w:rsidR="000D44C7" w:rsidRPr="000D44C7">
        <w:rPr>
          <w:rFonts w:ascii="等线" w:eastAsia="等线" w:hAnsi="等线" w:hint="eastAsia"/>
        </w:rPr>
        <w:t>尤其值得一提的是，奥布替尼于</w:t>
      </w:r>
      <w:r w:rsidR="000D44C7" w:rsidRPr="000D44C7">
        <w:rPr>
          <w:rFonts w:ascii="等线" w:eastAsia="等线" w:hAnsi="等线"/>
        </w:rPr>
        <w:t>2023年4月获批治疗复发/难治性边缘区淋巴瘤（MZL），由此成为中国首个且唯一获批针对MZL适应症的BTK抑制剂</w:t>
      </w:r>
      <w:r w:rsidR="000D44C7" w:rsidRPr="000D44C7">
        <w:rPr>
          <w:rFonts w:ascii="等线" w:eastAsia="等线" w:hAnsi="等线" w:hint="eastAsia"/>
        </w:rPr>
        <w:t>，</w:t>
      </w:r>
      <w:r w:rsidR="000D44C7" w:rsidRPr="000D44C7">
        <w:rPr>
          <w:rFonts w:ascii="等线" w:eastAsia="等线" w:hAnsi="等线"/>
        </w:rPr>
        <w:t>tafasitamab治疗方案已在香港获批上市并在博鳌获批使用</w:t>
      </w:r>
      <w:r w:rsidRPr="000D44C7">
        <w:rPr>
          <w:rFonts w:ascii="等线" w:eastAsia="等线" w:hAnsi="等线"/>
        </w:rPr>
        <w:t>；在实体瘤方面，公司拥有 ICP-192（泛 FGFR 抑制剂）、ICP-723（泛 TRK 抑制剂）、ICP-189（SHP2 抑制剂）</w:t>
      </w:r>
      <w:r w:rsidR="002D44F9" w:rsidRPr="000D44C7">
        <w:rPr>
          <w:rFonts w:ascii="等线" w:eastAsia="等线" w:hAnsi="等线" w:hint="eastAsia"/>
        </w:rPr>
        <w:t>和ICP-B05（靶向</w:t>
      </w:r>
      <w:r w:rsidR="002D44F9" w:rsidRPr="000D44C7">
        <w:rPr>
          <w:rFonts w:ascii="等线" w:eastAsia="等线" w:hAnsi="等线"/>
        </w:rPr>
        <w:t>CCR8单抗</w:t>
      </w:r>
      <w:r w:rsidR="002D44F9" w:rsidRPr="000D44C7">
        <w:rPr>
          <w:rFonts w:ascii="等线" w:eastAsia="等线" w:hAnsi="等线" w:hint="eastAsia"/>
        </w:rPr>
        <w:t>）</w:t>
      </w:r>
      <w:r w:rsidRPr="000D44C7">
        <w:rPr>
          <w:rFonts w:ascii="等线" w:eastAsia="等线" w:hAnsi="等线"/>
        </w:rPr>
        <w:t>等产品，覆盖多种实体瘤治疗机制；在自身免疫性疾病方面，公司正在开发用于治疗由B 细胞或 T 细胞功能异常所导致的自身免疫性疾病的多款产品，包括奥布替尼（BTK抑制剂）、ICP-332（TYK2-JH1 抑制剂）和 ICP-488（TYK2-JH2 抑制剂）等。除单药疗法外，公司也积极挖掘在研产品与其他疗法联合用药的潜力。</w:t>
      </w:r>
    </w:p>
    <w:p w14:paraId="0F011533" w14:textId="37970EBC" w:rsidR="00A7696E" w:rsidRPr="000D44C7" w:rsidRDefault="00A7696E" w:rsidP="004D26F7">
      <w:pPr>
        <w:rPr>
          <w:rFonts w:ascii="等线" w:eastAsia="等线" w:hAnsi="等线"/>
        </w:rPr>
      </w:pPr>
    </w:p>
    <w:sectPr w:rsidR="00A7696E" w:rsidRPr="000D44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AB361" w14:textId="77777777" w:rsidR="001B7FB9" w:rsidRDefault="001B7FB9" w:rsidP="005C31F8">
      <w:r>
        <w:separator/>
      </w:r>
    </w:p>
  </w:endnote>
  <w:endnote w:type="continuationSeparator" w:id="0">
    <w:p w14:paraId="226B11D6" w14:textId="77777777" w:rsidR="001B7FB9" w:rsidRDefault="001B7FB9" w:rsidP="005C3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A46C0" w14:textId="77777777" w:rsidR="001B7FB9" w:rsidRDefault="001B7FB9" w:rsidP="005C31F8">
      <w:r>
        <w:separator/>
      </w:r>
    </w:p>
  </w:footnote>
  <w:footnote w:type="continuationSeparator" w:id="0">
    <w:p w14:paraId="1B2F2B6B" w14:textId="77777777" w:rsidR="001B7FB9" w:rsidRDefault="001B7FB9" w:rsidP="005C31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6F7"/>
    <w:rsid w:val="000D44C7"/>
    <w:rsid w:val="001B7FB9"/>
    <w:rsid w:val="00244AC2"/>
    <w:rsid w:val="002B79FD"/>
    <w:rsid w:val="002D44F9"/>
    <w:rsid w:val="00433612"/>
    <w:rsid w:val="00460876"/>
    <w:rsid w:val="004D26F7"/>
    <w:rsid w:val="005C31F8"/>
    <w:rsid w:val="005D0123"/>
    <w:rsid w:val="005E2B1F"/>
    <w:rsid w:val="006A1571"/>
    <w:rsid w:val="0071578A"/>
    <w:rsid w:val="008F0450"/>
    <w:rsid w:val="00990FFB"/>
    <w:rsid w:val="00A7696E"/>
    <w:rsid w:val="00DD625E"/>
    <w:rsid w:val="00EC17CF"/>
    <w:rsid w:val="00EF2E70"/>
    <w:rsid w:val="00F1708F"/>
    <w:rsid w:val="00FD0085"/>
    <w:rsid w:val="00FE5793"/>
    <w:rsid w:val="00FE7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3D7B7"/>
  <w15:chartTrackingRefBased/>
  <w15:docId w15:val="{3A6FB458-2260-4CFD-AD5F-506EB1EC6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26F7"/>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31F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C31F8"/>
    <w:rPr>
      <w:rFonts w:ascii="宋体" w:eastAsia="宋体" w:hAnsi="宋体" w:cs="宋体"/>
      <w:kern w:val="0"/>
      <w:sz w:val="18"/>
      <w:szCs w:val="18"/>
    </w:rPr>
  </w:style>
  <w:style w:type="paragraph" w:styleId="a5">
    <w:name w:val="footer"/>
    <w:basedOn w:val="a"/>
    <w:link w:val="a6"/>
    <w:uiPriority w:val="99"/>
    <w:unhideWhenUsed/>
    <w:rsid w:val="005C31F8"/>
    <w:pPr>
      <w:tabs>
        <w:tab w:val="center" w:pos="4153"/>
        <w:tab w:val="right" w:pos="8306"/>
      </w:tabs>
      <w:snapToGrid w:val="0"/>
    </w:pPr>
    <w:rPr>
      <w:sz w:val="18"/>
      <w:szCs w:val="18"/>
    </w:rPr>
  </w:style>
  <w:style w:type="character" w:customStyle="1" w:styleId="a6">
    <w:name w:val="页脚 字符"/>
    <w:basedOn w:val="a0"/>
    <w:link w:val="a5"/>
    <w:uiPriority w:val="99"/>
    <w:rsid w:val="005C31F8"/>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204</Words>
  <Characters>1169</Characters>
  <Application>Microsoft Office Word</Application>
  <DocSecurity>0</DocSecurity>
  <Lines>9</Lines>
  <Paragraphs>2</Paragraphs>
  <ScaleCrop>false</ScaleCrop>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Chunhua Lu</dc:creator>
  <cp:keywords/>
  <dc:description/>
  <cp:lastModifiedBy>Chunhua Lu</cp:lastModifiedBy>
  <cp:revision>11</cp:revision>
  <dcterms:created xsi:type="dcterms:W3CDTF">2022-07-08T07:34:00Z</dcterms:created>
  <dcterms:modified xsi:type="dcterms:W3CDTF">2023-05-07T01:47:00Z</dcterms:modified>
</cp:coreProperties>
</file>