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rPr>
          <w:rFonts w:ascii="方正小标宋_GBK" w:hAnsi="Calibri" w:eastAsia="方正小标宋_GBK" w:cs="Times New Roman"/>
          <w:sz w:val="44"/>
          <w:szCs w:val="44"/>
        </w:rPr>
      </w:pPr>
      <w:r>
        <w:rPr>
          <w:rFonts w:hint="eastAsia" w:ascii="方正小标宋_GBK" w:hAnsi="Calibri" w:eastAsia="方正小标宋_GBK" w:cs="Times New Roman"/>
          <w:sz w:val="44"/>
          <w:szCs w:val="44"/>
        </w:rPr>
        <w:t>媒体集体采访拟定问题</w:t>
      </w:r>
    </w:p>
    <w:p>
      <w:pPr>
        <w:pStyle w:val="12"/>
      </w:pPr>
    </w:p>
    <w:p>
      <w:pPr>
        <w:spacing w:line="560" w:lineRule="exact"/>
        <w:ind w:firstLine="640" w:firstLineChars="200"/>
        <w:jc w:val="left"/>
        <w:rPr>
          <w:rFonts w:ascii="黑体" w:hAnsi="黑体" w:eastAsia="黑体" w:cs="黑体"/>
          <w:sz w:val="32"/>
          <w:szCs w:val="32"/>
        </w:rPr>
      </w:pPr>
      <w:r>
        <w:rPr>
          <w:rFonts w:hint="eastAsia" w:ascii="黑体" w:hAnsi="黑体" w:eastAsia="黑体" w:cs="黑体"/>
          <w:sz w:val="32"/>
          <w:szCs w:val="32"/>
        </w:rPr>
        <w:t>一、市科委、中关村管委会：</w:t>
      </w:r>
    </w:p>
    <w:p>
      <w:pPr>
        <w:spacing w:line="560" w:lineRule="exact"/>
        <w:ind w:firstLine="643" w:firstLineChars="200"/>
        <w:rPr>
          <w:rFonts w:ascii="仿宋" w:hAnsi="仿宋" w:eastAsia="仿宋" w:cs="仿宋_GB2312"/>
          <w:b/>
          <w:bCs/>
          <w:sz w:val="32"/>
          <w:szCs w:val="32"/>
        </w:rPr>
      </w:pPr>
      <w:r>
        <w:rPr>
          <w:rFonts w:hint="eastAsia" w:ascii="仿宋_GB2312" w:hAnsi="仿宋_GB2312" w:eastAsia="仿宋_GB2312" w:cs="仿宋_GB2312"/>
          <w:b/>
          <w:bCs/>
          <w:sz w:val="32"/>
          <w:szCs w:val="32"/>
        </w:rPr>
        <w:t>问题</w:t>
      </w:r>
      <w:r>
        <w:rPr>
          <w:rFonts w:ascii="仿宋_GB2312" w:hAnsi="仿宋_GB2312" w:eastAsia="仿宋_GB2312" w:cs="仿宋_GB2312"/>
          <w:b/>
          <w:bCs/>
          <w:sz w:val="32"/>
          <w:szCs w:val="32"/>
        </w:rPr>
        <w:t>1</w:t>
      </w:r>
      <w:r>
        <w:rPr>
          <w:rFonts w:hint="eastAsia" w:ascii="仿宋_GB2312" w:hAnsi="仿宋_GB2312" w:eastAsia="仿宋_GB2312" w:cs="仿宋_GB2312"/>
          <w:b/>
          <w:bCs/>
          <w:sz w:val="32"/>
          <w:szCs w:val="32"/>
        </w:rPr>
        <w:t>:据了解，在通过前沿大赛遴选世界领先科技成果的基础上，关于前沿企业的培育生态方面也做了不少工作，能否</w:t>
      </w:r>
      <w:r>
        <w:rPr>
          <w:rFonts w:hint="eastAsia" w:ascii="仿宋" w:hAnsi="仿宋" w:eastAsia="仿宋" w:cs="仿宋_GB2312"/>
          <w:b/>
          <w:bCs/>
          <w:sz w:val="32"/>
          <w:szCs w:val="32"/>
        </w:rPr>
        <w:t>请您介绍一下？</w:t>
      </w:r>
    </w:p>
    <w:p>
      <w:pPr>
        <w:pStyle w:val="7"/>
        <w:rPr>
          <w:rFonts w:ascii="仿宋" w:hAnsi="仿宋" w:eastAsia="仿宋"/>
          <w:color w:val="auto"/>
        </w:rPr>
      </w:pPr>
      <w:r>
        <w:rPr>
          <w:rFonts w:hint="eastAsia" w:ascii="仿宋_GB2312" w:hAnsi="仿宋_GB2312" w:eastAsia="仿宋_GB2312"/>
        </w:rPr>
        <w:t>回答：</w:t>
      </w:r>
      <w:r>
        <w:rPr>
          <w:rFonts w:hint="eastAsia" w:ascii="仿宋" w:hAnsi="仿宋" w:eastAsia="仿宋"/>
          <w:color w:val="auto"/>
        </w:rPr>
        <w:t>为营造适合前沿技术培育发展的生态环境，我委探索了一套培育前沿技术、驱动高精尖经济发展的组合拳，逐步形成了“大赛挖掘+专项支持+落地转化+精准服务”四位一体的前沿技术培育生态体系，一是以前沿大赛为选拔主渠道，面向全球遴选挖掘优质前沿技术企业；二是通过前沿技术专项优中选优，全面扶持前沿领域硬科技企业谋创新求发展；三是构建前沿技术创新中心集群，吸引促进前沿技术企业落地发展共创共赢；四是成立前沿技术与产业服务联盟，提供市场化专业化全方位服务</w:t>
      </w:r>
      <w:r>
        <w:rPr>
          <w:rFonts w:ascii="仿宋" w:hAnsi="仿宋" w:eastAsia="仿宋"/>
          <w:color w:val="auto"/>
        </w:rPr>
        <w:t>。</w:t>
      </w:r>
    </w:p>
    <w:p>
      <w:pPr>
        <w:pStyle w:val="7"/>
        <w:rPr>
          <w:rFonts w:ascii="仿宋" w:hAnsi="仿宋" w:eastAsia="仿宋"/>
          <w:color w:val="auto"/>
        </w:rPr>
      </w:pPr>
      <w:r>
        <w:rPr>
          <w:rFonts w:hint="eastAsia" w:ascii="仿宋" w:hAnsi="仿宋" w:eastAsia="仿宋"/>
          <w:color w:val="auto"/>
        </w:rPr>
        <w:t>为切实做好前沿企业、独角兽企业等创新型企业的深入服务，推动各类优质资源向创新型企业集聚，同步出台了《中关村创新型企业“助航计划”工作方案》，在技术对接、上市融资以及政策宣讲等方面为企业搭建“牵手”对接平台，营造有特色、有品牌的创新服务生态。会同市级各部门，组织6场惠企政策宣讲服务—“政策助航”活动，组织7场前沿技术对接服务—“技术助航”活动，组织中投集团开展1场融资上市对接服务—“金融助航”活动等各类对接活动15场，惠及独角兽等创新型企业近1000余家次。</w:t>
      </w:r>
    </w:p>
    <w:p>
      <w:pPr>
        <w:spacing w:line="560" w:lineRule="exact"/>
        <w:ind w:firstLine="643" w:firstLineChars="20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问题</w:t>
      </w:r>
      <w:r>
        <w:rPr>
          <w:rFonts w:ascii="仿宋_GB2312" w:hAnsi="仿宋_GB2312" w:eastAsia="仿宋_GB2312" w:cs="仿宋_GB2312"/>
          <w:b/>
          <w:bCs/>
          <w:sz w:val="32"/>
          <w:szCs w:val="32"/>
        </w:rPr>
        <w:t>2</w:t>
      </w:r>
      <w:r>
        <w:rPr>
          <w:rFonts w:hint="eastAsia" w:ascii="仿宋_GB2312" w:hAnsi="仿宋_GB2312" w:eastAsia="仿宋_GB2312" w:cs="仿宋_GB2312"/>
          <w:b/>
          <w:bCs/>
          <w:sz w:val="32"/>
          <w:szCs w:val="32"/>
        </w:rPr>
        <w:t>：</w:t>
      </w:r>
      <w:r>
        <w:rPr>
          <w:rFonts w:hint="eastAsia" w:ascii="仿宋" w:hAnsi="仿宋" w:eastAsia="仿宋" w:cs="仿宋_GB2312"/>
          <w:b/>
          <w:bCs/>
          <w:sz w:val="32"/>
          <w:szCs w:val="32"/>
        </w:rPr>
        <w:t>请问今年大赛在助力企业融资方面有哪些成效？</w:t>
      </w:r>
    </w:p>
    <w:p>
      <w:pPr>
        <w:pStyle w:val="7"/>
        <w:rPr>
          <w:rFonts w:ascii="仿宋" w:hAnsi="仿宋" w:eastAsia="仿宋"/>
          <w:color w:val="FF0000"/>
        </w:rPr>
      </w:pPr>
      <w:r>
        <w:rPr>
          <w:rFonts w:hint="eastAsia" w:ascii="仿宋_GB2312" w:hAnsi="仿宋_GB2312" w:eastAsia="仿宋_GB2312"/>
        </w:rPr>
        <w:t>回答：</w:t>
      </w:r>
      <w:r>
        <w:rPr>
          <w:rFonts w:hint="eastAsia" w:ascii="仿宋" w:hAnsi="仿宋" w:eastAsia="仿宋"/>
          <w:color w:val="auto"/>
        </w:rPr>
        <w:t>去年9月，在大赛组委会的支持下，中关村前沿科技投融资联席会于2021年中关村论坛正式成立。联席会集聚了20余家由社会资本、央地国资、大型产业集团等不同资金背景机构建立的优质风险投资机构，是中关村前沿科技创新大赛投融资服务的重要平台，已经成为助力大赛优质企业快速成长的“强劲引擎”。近三年来，联席会通过“股权”+“债权”双轮驱动，带动200余家投资机构为前沿大赛企业累计投资</w:t>
      </w:r>
      <w:r>
        <w:rPr>
          <w:rFonts w:ascii="仿宋" w:hAnsi="仿宋" w:eastAsia="仿宋"/>
          <w:color w:val="auto"/>
        </w:rPr>
        <w:t>790</w:t>
      </w:r>
      <w:r>
        <w:rPr>
          <w:rFonts w:hint="eastAsia" w:ascii="仿宋" w:hAnsi="仿宋" w:eastAsia="仿宋"/>
          <w:color w:val="auto"/>
        </w:rPr>
        <w:t>亿元，北京银行、工商银行、中关村银行、浦发银行等4家银行为229家大赛企业发放信贷58亿元。本届大赛总决赛上，其中5家投资机构和4家银行代表与59家企业代表现场签约，签约金额超9亿元。</w:t>
      </w:r>
    </w:p>
    <w:p/>
    <w:p>
      <w:pPr>
        <w:spacing w:line="560" w:lineRule="exact"/>
        <w:ind w:firstLine="640" w:firstLineChars="200"/>
        <w:jc w:val="left"/>
        <w:rPr>
          <w:rFonts w:ascii="黑体" w:hAnsi="黑体" w:eastAsia="黑体" w:cs="黑体"/>
          <w:sz w:val="32"/>
          <w:szCs w:val="32"/>
        </w:rPr>
      </w:pPr>
      <w:r>
        <w:rPr>
          <w:rFonts w:hint="eastAsia" w:ascii="黑体" w:hAnsi="黑体" w:eastAsia="黑体" w:cs="黑体"/>
          <w:sz w:val="32"/>
          <w:szCs w:val="32"/>
        </w:rPr>
        <w:t>二、北京星际荣耀科技有限责任公司</w:t>
      </w:r>
    </w:p>
    <w:p>
      <w:pPr>
        <w:spacing w:line="560" w:lineRule="exact"/>
        <w:ind w:firstLine="643" w:firstLineChars="200"/>
        <w:rPr>
          <w:rFonts w:ascii="仿宋" w:hAnsi="仿宋" w:eastAsia="仿宋" w:cs="仿宋_GB2312"/>
          <w:b/>
          <w:bCs/>
          <w:sz w:val="32"/>
          <w:szCs w:val="32"/>
        </w:rPr>
      </w:pPr>
      <w:bookmarkStart w:id="0" w:name="_Hlk135212743"/>
      <w:r>
        <w:rPr>
          <w:rFonts w:hint="eastAsia" w:ascii="仿宋_GB2312" w:hAnsi="仿宋_GB2312" w:eastAsia="仿宋_GB2312" w:cs="仿宋_GB2312"/>
          <w:b/>
          <w:bCs/>
          <w:sz w:val="32"/>
          <w:szCs w:val="32"/>
        </w:rPr>
        <w:t>问题1：</w:t>
      </w:r>
      <w:r>
        <w:rPr>
          <w:rFonts w:hint="eastAsia" w:ascii="仿宋" w:hAnsi="仿宋" w:eastAsia="仿宋" w:cs="仿宋_GB2312"/>
          <w:b/>
          <w:bCs/>
          <w:sz w:val="32"/>
          <w:szCs w:val="32"/>
        </w:rPr>
        <w:t>请问北京星际荣耀科技有限责任公司张骁飞张总，作为前沿大赛2</w:t>
      </w:r>
      <w:r>
        <w:rPr>
          <w:rFonts w:ascii="仿宋" w:hAnsi="仿宋" w:eastAsia="仿宋" w:cs="仿宋_GB2312"/>
          <w:b/>
          <w:bCs/>
          <w:sz w:val="32"/>
          <w:szCs w:val="32"/>
        </w:rPr>
        <w:t>019</w:t>
      </w:r>
      <w:r>
        <w:rPr>
          <w:rFonts w:hint="eastAsia" w:ascii="仿宋" w:hAnsi="仿宋" w:eastAsia="仿宋" w:cs="仿宋_GB2312"/>
          <w:b/>
          <w:bCs/>
          <w:sz w:val="32"/>
          <w:szCs w:val="32"/>
        </w:rPr>
        <w:t>年总冠军、2</w:t>
      </w:r>
      <w:r>
        <w:rPr>
          <w:rFonts w:ascii="仿宋" w:hAnsi="仿宋" w:eastAsia="仿宋" w:cs="仿宋_GB2312"/>
          <w:b/>
          <w:bCs/>
          <w:sz w:val="32"/>
          <w:szCs w:val="32"/>
        </w:rPr>
        <w:t>021</w:t>
      </w:r>
      <w:r>
        <w:rPr>
          <w:rFonts w:hint="eastAsia" w:ascii="仿宋" w:hAnsi="仿宋" w:eastAsia="仿宋" w:cs="仿宋_GB2312"/>
          <w:b/>
          <w:bCs/>
          <w:sz w:val="32"/>
          <w:szCs w:val="32"/>
        </w:rPr>
        <w:t>年总决赛季军，您有什么感受可以分享</w:t>
      </w:r>
      <w:r>
        <w:rPr>
          <w:rFonts w:ascii="仿宋" w:hAnsi="仿宋" w:eastAsia="仿宋" w:cs="仿宋_GB2312"/>
          <w:b/>
          <w:bCs/>
          <w:sz w:val="32"/>
          <w:szCs w:val="32"/>
        </w:rPr>
        <w:t>？</w:t>
      </w:r>
    </w:p>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___WRD_EMBED_SUB_46" w:hAnsi="___WRD_EMBED_SUB_46" w:eastAsia="___WRD_EMBED_SUB_46" w:cs="___WRD_EMBED_SUB_46"/>
          <w:sz w:val="32"/>
          <w:szCs w:val="32"/>
        </w:rPr>
        <w:t>：</w:t>
      </w:r>
      <w:r>
        <w:rPr>
          <w:rFonts w:hint="eastAsia" w:ascii="仿宋" w:hAnsi="仿宋" w:eastAsia="仿宋" w:cs="仿宋_GB2312"/>
          <w:sz w:val="32"/>
          <w:szCs w:val="32"/>
        </w:rPr>
        <w:t>创新驱动未来，创新的原动力来源于企业对自身技术</w:t>
      </w:r>
      <w:bookmarkEnd w:id="0"/>
      <w:r>
        <w:rPr>
          <w:rFonts w:hint="eastAsia" w:ascii="仿宋" w:hAnsi="仿宋" w:eastAsia="仿宋" w:cs="仿宋_GB2312"/>
          <w:sz w:val="32"/>
          <w:szCs w:val="32"/>
        </w:rPr>
        <w:t>实力的传承与应用。星际科技通过参加两届中关村国际前沿科技创新大赛，为公司提供了更多的科技型企业在不同领域的产品研制开发及前沿技术研发的经验，提供了更多投资交流的机会，也为公司的“硬科技”产品拓广了市场，星际科技以此为契机，通过公司研发体系的日趋完善，让组织的知识传承、交流能够更加高质、高效，实现组织与技术创新相互紧密关联，全面提升企业前沿技术研发水平，为公司的产品技术积淀、创新、发展提供良好的基础，为公司前沿科技深挖及不断突破前沿技术提供更好的基础保障！</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同时，市政府加大对支持“硬科技”战略投资，加大对具有原创性、自主性、颠覆性技术企业的投资，公司在近年来先后生产落地北京市大兴区，推进技术创新中心的成立挂牌、研发中心在北京经济技术开发区发展壮大等离不开中关村管委会、北京市科委对“硬科技”企业的大力支持！</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随着公司不断发展，未来将能够对上下游环节起到明显的辐射、牵引和带动效应。围绕运载火箭研发、采购、销售、提供发射服务的核心环节，能够集聚丰富的先进材料与制造、精密仪器生产、卫星研发、卫星运营、地面终端以及应用服务的商业航天生态。将持续为北京市（北京经济技术开发区、大兴区、西城区）的投资、税收、技术创新、产业升级等方面全方位贡献力量，在服务首都经济社会发展大局中发挥更大的作用。</w:t>
      </w:r>
    </w:p>
    <w:p>
      <w:pPr>
        <w:spacing w:line="560" w:lineRule="exact"/>
        <w:ind w:firstLine="643" w:firstLineChars="200"/>
        <w:rPr>
          <w:rFonts w:ascii="仿宋" w:hAnsi="仿宋" w:eastAsia="仿宋" w:cs="仿宋_GB2312"/>
          <w:b/>
          <w:bCs/>
          <w:sz w:val="32"/>
          <w:szCs w:val="32"/>
        </w:rPr>
      </w:pPr>
      <w:r>
        <w:rPr>
          <w:rFonts w:hint="eastAsia" w:ascii="仿宋_GB2312" w:hAnsi="仿宋_GB2312" w:eastAsia="仿宋_GB2312" w:cs="仿宋_GB2312"/>
          <w:b/>
          <w:bCs/>
          <w:sz w:val="32"/>
          <w:szCs w:val="32"/>
        </w:rPr>
        <w:t>问题</w:t>
      </w:r>
      <w:r>
        <w:rPr>
          <w:rFonts w:ascii="仿宋_GB2312" w:hAnsi="仿宋_GB2312" w:eastAsia="仿宋_GB2312" w:cs="仿宋_GB2312"/>
          <w:b/>
          <w:bCs/>
          <w:sz w:val="32"/>
          <w:szCs w:val="32"/>
        </w:rPr>
        <w:t>2</w:t>
      </w:r>
      <w:r>
        <w:rPr>
          <w:rFonts w:hint="eastAsia" w:ascii="仿宋_GB2312" w:hAnsi="仿宋_GB2312" w:eastAsia="仿宋_GB2312" w:cs="仿宋_GB2312"/>
          <w:b/>
          <w:bCs/>
          <w:sz w:val="32"/>
          <w:szCs w:val="32"/>
        </w:rPr>
        <w:t>：</w:t>
      </w:r>
      <w:r>
        <w:rPr>
          <w:rFonts w:hint="eastAsia" w:ascii="仿宋" w:hAnsi="仿宋" w:eastAsia="仿宋" w:cs="仿宋_GB2312"/>
          <w:b/>
          <w:bCs/>
          <w:sz w:val="32"/>
          <w:szCs w:val="32"/>
        </w:rPr>
        <w:t>公司最具代表的最新产品是什么？近期有融资计划吗</w:t>
      </w:r>
      <w:r>
        <w:rPr>
          <w:rFonts w:ascii="仿宋" w:hAnsi="仿宋" w:eastAsia="仿宋" w:cs="仿宋_GB2312"/>
          <w:b/>
          <w:bCs/>
          <w:sz w:val="32"/>
          <w:szCs w:val="32"/>
        </w:rPr>
        <w:t>？</w:t>
      </w:r>
    </w:p>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___WRD_EMBED_SUB_46" w:hAnsi="___WRD_EMBED_SUB_46" w:eastAsia="___WRD_EMBED_SUB_46" w:cs="___WRD_EMBED_SUB_46"/>
          <w:sz w:val="32"/>
          <w:szCs w:val="32"/>
        </w:rPr>
        <w:t>：</w:t>
      </w:r>
      <w:r>
        <w:rPr>
          <w:rFonts w:hint="eastAsia" w:ascii="仿宋" w:hAnsi="仿宋" w:eastAsia="仿宋" w:cs="仿宋_GB2312"/>
          <w:sz w:val="32"/>
          <w:szCs w:val="32"/>
        </w:rPr>
        <w:t>JD-2发动机（用于大型可重复使用液体运载火箭）：海平面额定推力85吨，具备40%-115%范围推力调节能力，全面实现机电一体化，推进剂控制阀和摇摆执行机构均为电动。</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大型可重复使用液体运载火箭：针对未来星座组网、空间站货物运输等高频次、大规模太空运输需求，星际荣耀研制双曲线三号（SQX-3）可重复使用大型运载火箭。该火箭通过牵制释放技术、一子级回收多次重复使用技术，全箭级故障诊断及健康监测技术、在线重构等技术途径实现高可靠、低成本和快速发射。</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关于公司融资情况，正在进行C+轮融资，计划股权等方式融资10亿元人民币，投前估值100亿人民币。</w:t>
      </w:r>
    </w:p>
    <w:p>
      <w:pPr>
        <w:spacing w:line="560" w:lineRule="exact"/>
        <w:ind w:firstLine="640" w:firstLineChars="200"/>
        <w:rPr>
          <w:rFonts w:ascii="仿宋" w:hAnsi="仿宋" w:eastAsia="仿宋" w:cs="仿宋_GB2312"/>
          <w:sz w:val="32"/>
          <w:szCs w:val="32"/>
        </w:rPr>
      </w:pPr>
    </w:p>
    <w:p>
      <w:pPr>
        <w:spacing w:line="560" w:lineRule="exact"/>
        <w:ind w:firstLine="640" w:firstLineChars="200"/>
        <w:jc w:val="left"/>
        <w:rPr>
          <w:rFonts w:ascii="黑体" w:hAnsi="黑体" w:eastAsia="黑体" w:cs="黑体"/>
          <w:sz w:val="32"/>
          <w:szCs w:val="32"/>
        </w:rPr>
      </w:pPr>
      <w:bookmarkStart w:id="1" w:name="_Hlk135230484"/>
      <w:r>
        <w:rPr>
          <w:rFonts w:hint="eastAsia" w:ascii="黑体" w:hAnsi="黑体" w:eastAsia="黑体" w:cs="黑体"/>
          <w:sz w:val="32"/>
          <w:szCs w:val="32"/>
        </w:rPr>
        <w:t>三、华控清交信息科技（北京）有限公司</w:t>
      </w:r>
    </w:p>
    <w:p>
      <w:pPr>
        <w:spacing w:line="560" w:lineRule="exact"/>
        <w:ind w:firstLine="643" w:firstLineChars="200"/>
        <w:rPr>
          <w:rFonts w:ascii="仿宋" w:hAnsi="仿宋" w:eastAsia="仿宋" w:cs="仿宋_GB2312"/>
          <w:b/>
          <w:bCs/>
          <w:sz w:val="32"/>
          <w:szCs w:val="32"/>
        </w:rPr>
      </w:pPr>
      <w:bookmarkStart w:id="2" w:name="_Hlk135212616"/>
      <w:r>
        <w:rPr>
          <w:rFonts w:hint="eastAsia" w:ascii="仿宋" w:hAnsi="仿宋" w:eastAsia="仿宋" w:cs="仿宋_GB2312"/>
          <w:b/>
          <w:bCs/>
          <w:sz w:val="32"/>
          <w:szCs w:val="32"/>
        </w:rPr>
        <w:t>问题1：请问华</w:t>
      </w:r>
      <w:bookmarkEnd w:id="2"/>
      <w:r>
        <w:rPr>
          <w:rFonts w:hint="eastAsia" w:ascii="仿宋" w:hAnsi="仿宋" w:eastAsia="仿宋" w:cs="仿宋_GB2312"/>
          <w:b/>
          <w:bCs/>
          <w:sz w:val="32"/>
          <w:szCs w:val="32"/>
        </w:rPr>
        <w:t>控清交信息科技（北京）有限公司宋巍宋总，作为前沿大赛2</w:t>
      </w:r>
      <w:r>
        <w:rPr>
          <w:rFonts w:ascii="仿宋" w:hAnsi="仿宋" w:eastAsia="仿宋" w:cs="仿宋_GB2312"/>
          <w:b/>
          <w:bCs/>
          <w:sz w:val="32"/>
          <w:szCs w:val="32"/>
        </w:rPr>
        <w:t>019</w:t>
      </w:r>
      <w:r>
        <w:rPr>
          <w:rFonts w:hint="eastAsia" w:ascii="仿宋" w:hAnsi="仿宋" w:eastAsia="仿宋" w:cs="仿宋_GB2312"/>
          <w:b/>
          <w:bCs/>
          <w:sz w:val="32"/>
          <w:szCs w:val="32"/>
        </w:rPr>
        <w:t>年季军，介绍一下获胜项目的创新点和优势是什么</w:t>
      </w:r>
      <w:r>
        <w:rPr>
          <w:rFonts w:ascii="仿宋" w:hAnsi="仿宋" w:eastAsia="仿宋" w:cs="仿宋_GB2312"/>
          <w:b/>
          <w:bCs/>
          <w:sz w:val="32"/>
          <w:szCs w:val="32"/>
        </w:rPr>
        <w:t>？</w:t>
      </w:r>
    </w:p>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___WRD_EMBED_SUB_46" w:hAnsi="___WRD_EMBED_SUB_46" w:eastAsia="___WRD_EMBED_SUB_46" w:cs="___WRD_EMBED_SUB_46"/>
          <w:sz w:val="32"/>
          <w:szCs w:val="32"/>
        </w:rPr>
        <w:t>：</w:t>
      </w:r>
      <w:r>
        <w:rPr>
          <w:rFonts w:hint="eastAsia" w:ascii="仿宋" w:hAnsi="仿宋" w:eastAsia="仿宋" w:cs="仿宋_GB2312"/>
          <w:sz w:val="32"/>
          <w:szCs w:val="32"/>
        </w:rPr>
        <w:t>华控清交信息科技（北京）有限公司（“华控清交”）是由清华大学于2018年6月发起的信息技术公司；专注于研究、开发和建设基于现代密码学和博弈论的大数据安全融合技术、标准和基础设施。公司自成立初期就得到了中关村管委会的大力支持，2019年华控清交凭借多方安全计算技术在数据融合领域的创新应用获得总决赛季军。通过本次大赛，我们在多方计算技术方面的研究和开发上取得了重要的进展。我们相信，这种技术在未来有着广泛的应用前景，能够为用户提供更加安全的计算服务。在2020年，通过多方计算平台项目的申报从报名的1000多家企业中脱颖而出，入选了中关村前沿技术企业。</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多方计算平台源于1982年图灵奖获得者姚期智教授的一篇论文，通过严密的数学论证，提出解决多个不信任方共享数据的多方安全计算理论。30多年来，多方安全计算成为跨学科的前沿科技，被全球的学者追捧和推广，目前已经应用到政府、金融、医疗和工业的数据保护和利用中来，为数据真正成为法律和金融意义上的资产奠定技术基础，并为大规模数据流通奠定基础，也验证了中关村管委会对于数据流通安全保障技术领域的洞察力及前瞻性，该项目经过了3年的验证也在今年通过答辩审核顺利结项。</w:t>
      </w:r>
    </w:p>
    <w:p>
      <w:pPr>
        <w:spacing w:line="560" w:lineRule="exact"/>
        <w:ind w:firstLine="643" w:firstLineChars="200"/>
        <w:rPr>
          <w:rFonts w:ascii="仿宋" w:hAnsi="仿宋" w:eastAsia="仿宋" w:cs="仿宋_GB2312"/>
          <w:b/>
          <w:bCs/>
          <w:sz w:val="32"/>
          <w:szCs w:val="32"/>
        </w:rPr>
      </w:pPr>
      <w:r>
        <w:rPr>
          <w:rFonts w:hint="eastAsia" w:ascii="仿宋" w:hAnsi="仿宋" w:eastAsia="仿宋" w:cs="仿宋_GB2312"/>
          <w:b/>
          <w:bCs/>
          <w:sz w:val="32"/>
          <w:szCs w:val="32"/>
        </w:rPr>
        <w:t>问题</w:t>
      </w:r>
      <w:r>
        <w:rPr>
          <w:rFonts w:ascii="仿宋" w:hAnsi="仿宋" w:eastAsia="仿宋" w:cs="仿宋_GB2312"/>
          <w:b/>
          <w:bCs/>
          <w:sz w:val="32"/>
          <w:szCs w:val="32"/>
        </w:rPr>
        <w:t>2</w:t>
      </w:r>
      <w:r>
        <w:rPr>
          <w:rFonts w:hint="eastAsia" w:ascii="仿宋" w:hAnsi="仿宋" w:eastAsia="仿宋" w:cs="仿宋_GB2312"/>
          <w:b/>
          <w:bCs/>
          <w:sz w:val="32"/>
          <w:szCs w:val="32"/>
        </w:rPr>
        <w:t>：您认为贵企业未来的发展方向是什么？是否会继续围绕当前获胜项目进行扩展和深化？</w:t>
      </w:r>
    </w:p>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___WRD_EMBED_SUB_46" w:hAnsi="___WRD_EMBED_SUB_46" w:eastAsia="___WRD_EMBED_SUB_46" w:cs="___WRD_EMBED_SUB_46"/>
          <w:sz w:val="32"/>
          <w:szCs w:val="32"/>
        </w:rPr>
        <w:t>：</w:t>
      </w:r>
      <w:r>
        <w:rPr>
          <w:rFonts w:hint="eastAsia" w:ascii="仿宋" w:hAnsi="仿宋" w:eastAsia="仿宋" w:cs="仿宋_GB2312"/>
          <w:sz w:val="32"/>
          <w:szCs w:val="32"/>
        </w:rPr>
        <w:t>华控清交一直秉承以终为始的技术路线，打造数据要素化流通的基础设施。目前多方计算的通用技术平台已经实现工程化落地，接下来将实现数据融合生态平台，包括提供SDK/API、开源源代码、建立开发者社区、扩展产品技术渠道代理、推广建设Data Hub，并最终形成国家级数据网络。在硬件方面，华控清交同态加速卡（T</w:t>
      </w:r>
      <w:r>
        <w:rPr>
          <w:rFonts w:ascii="仿宋" w:hAnsi="仿宋" w:eastAsia="仿宋" w:cs="仿宋_GB2312"/>
          <w:sz w:val="32"/>
          <w:szCs w:val="32"/>
        </w:rPr>
        <w:t>singJ X1</w:t>
      </w:r>
      <w:r>
        <w:rPr>
          <w:rFonts w:hint="eastAsia" w:ascii="仿宋" w:hAnsi="仿宋" w:eastAsia="仿宋" w:cs="仿宋_GB2312"/>
          <w:sz w:val="32"/>
          <w:szCs w:val="32"/>
        </w:rPr>
        <w:t>）已经落地应用，该款加速卡是业界首款专用于半同态计算加速的特定集成电路芯片（</w:t>
      </w:r>
      <w:r>
        <w:rPr>
          <w:rFonts w:ascii="仿宋" w:hAnsi="仿宋" w:eastAsia="仿宋" w:cs="仿宋_GB2312"/>
          <w:sz w:val="32"/>
          <w:szCs w:val="32"/>
        </w:rPr>
        <w:t>ASIC</w:t>
      </w:r>
      <w:r>
        <w:rPr>
          <w:rFonts w:hint="eastAsia" w:ascii="仿宋" w:hAnsi="仿宋" w:eastAsia="仿宋" w:cs="仿宋_GB2312"/>
          <w:sz w:val="32"/>
          <w:szCs w:val="32"/>
        </w:rPr>
        <w:t>），在隐私安全计算领域具有里程碑意义。T</w:t>
      </w:r>
      <w:r>
        <w:rPr>
          <w:rFonts w:ascii="仿宋" w:hAnsi="仿宋" w:eastAsia="仿宋" w:cs="仿宋_GB2312"/>
          <w:sz w:val="32"/>
          <w:szCs w:val="32"/>
        </w:rPr>
        <w:t xml:space="preserve">singJ </w:t>
      </w:r>
      <w:r>
        <w:rPr>
          <w:rFonts w:hint="eastAsia" w:ascii="仿宋" w:hAnsi="仿宋" w:eastAsia="仿宋" w:cs="仿宋_GB2312"/>
          <w:sz w:val="32"/>
          <w:szCs w:val="32"/>
        </w:rPr>
        <w:t>X</w:t>
      </w:r>
      <w:r>
        <w:rPr>
          <w:rFonts w:ascii="仿宋" w:hAnsi="仿宋" w:eastAsia="仿宋" w:cs="仿宋_GB2312"/>
          <w:sz w:val="32"/>
          <w:szCs w:val="32"/>
        </w:rPr>
        <w:t>1</w:t>
      </w:r>
      <w:r>
        <w:rPr>
          <w:rFonts w:hint="eastAsia" w:ascii="仿宋" w:hAnsi="仿宋" w:eastAsia="仿宋" w:cs="仿宋_GB2312"/>
          <w:sz w:val="32"/>
          <w:szCs w:val="32"/>
        </w:rPr>
        <w:t>以P</w:t>
      </w:r>
      <w:r>
        <w:rPr>
          <w:rFonts w:ascii="仿宋" w:hAnsi="仿宋" w:eastAsia="仿宋" w:cs="仿宋_GB2312"/>
          <w:sz w:val="32"/>
          <w:szCs w:val="32"/>
        </w:rPr>
        <w:t>CI</w:t>
      </w:r>
      <w:r>
        <w:rPr>
          <w:rFonts w:hint="eastAsia" w:ascii="仿宋" w:hAnsi="仿宋" w:eastAsia="仿宋" w:cs="仿宋_GB2312"/>
          <w:sz w:val="32"/>
          <w:szCs w:val="32"/>
        </w:rPr>
        <w:t>e</w:t>
      </w:r>
      <w:r>
        <w:rPr>
          <w:rFonts w:ascii="仿宋" w:hAnsi="仿宋" w:eastAsia="仿宋" w:cs="仿宋_GB2312"/>
          <w:sz w:val="32"/>
          <w:szCs w:val="32"/>
        </w:rPr>
        <w:t>2.0</w:t>
      </w:r>
      <w:r>
        <w:rPr>
          <w:rFonts w:hint="eastAsia" w:ascii="仿宋" w:hAnsi="仿宋" w:eastAsia="仿宋" w:cs="仿宋_GB2312"/>
          <w:sz w:val="32"/>
          <w:szCs w:val="32"/>
        </w:rPr>
        <w:t>作为接口，在应用层有专用的驱动，开发人员可以十分方便地调用驱动接口使用加速卡的计算资源，针对特定的运算（如大整数模乘、模幂等）具备十分显著的加速效果。T</w:t>
      </w:r>
      <w:r>
        <w:rPr>
          <w:rFonts w:ascii="仿宋" w:hAnsi="仿宋" w:eastAsia="仿宋" w:cs="仿宋_GB2312"/>
          <w:sz w:val="32"/>
          <w:szCs w:val="32"/>
        </w:rPr>
        <w:t>singJ X1</w:t>
      </w:r>
      <w:r>
        <w:rPr>
          <w:rFonts w:hint="eastAsia" w:ascii="仿宋" w:hAnsi="仿宋" w:eastAsia="仿宋" w:cs="仿宋_GB2312"/>
          <w:sz w:val="32"/>
          <w:szCs w:val="32"/>
        </w:rPr>
        <w:t>已深度嵌入到华控清交的隐私保护计算产品中，对于某些应用场景的性能在业界遥遥领先。用户经过简单地配置便可指定是否使用硬件，应用软件也具备硬件自动探测功能，有助于应用在纯软件与软硬结合环境中无缝切换。</w:t>
      </w:r>
    </w:p>
    <w:bookmarkEnd w:id="1"/>
    <w:p>
      <w:pPr>
        <w:spacing w:line="560" w:lineRule="exact"/>
        <w:ind w:firstLine="640" w:firstLineChars="200"/>
        <w:rPr>
          <w:rFonts w:ascii="仿宋" w:hAnsi="仿宋" w:eastAsia="仿宋" w:cs="仿宋_GB2312"/>
          <w:sz w:val="32"/>
          <w:szCs w:val="32"/>
        </w:rPr>
      </w:pPr>
    </w:p>
    <w:p>
      <w:pPr>
        <w:spacing w:line="560" w:lineRule="exact"/>
        <w:ind w:firstLine="640" w:firstLineChars="200"/>
        <w:jc w:val="left"/>
        <w:rPr>
          <w:rFonts w:ascii="黑体" w:hAnsi="黑体" w:eastAsia="黑体" w:cs="黑体"/>
          <w:sz w:val="32"/>
          <w:szCs w:val="32"/>
        </w:rPr>
      </w:pPr>
      <w:r>
        <w:rPr>
          <w:rFonts w:hint="eastAsia" w:ascii="黑体" w:hAnsi="黑体" w:eastAsia="黑体" w:cs="黑体"/>
          <w:sz w:val="32"/>
          <w:szCs w:val="32"/>
        </w:rPr>
        <w:t>四、维泰瑞隆(北京)生物科技有限公司</w:t>
      </w:r>
    </w:p>
    <w:p>
      <w:pPr>
        <w:spacing w:line="560" w:lineRule="exact"/>
        <w:ind w:firstLine="643" w:firstLineChars="200"/>
        <w:rPr>
          <w:rFonts w:ascii="仿宋" w:hAnsi="仿宋" w:eastAsia="仿宋" w:cs="仿宋_GB2312"/>
          <w:b/>
          <w:bCs/>
          <w:sz w:val="32"/>
          <w:szCs w:val="32"/>
        </w:rPr>
      </w:pPr>
      <w:r>
        <w:rPr>
          <w:rFonts w:hint="eastAsia" w:ascii="仿宋" w:hAnsi="仿宋" w:eastAsia="仿宋" w:cs="仿宋_GB2312"/>
          <w:b/>
          <w:bCs/>
          <w:sz w:val="32"/>
          <w:szCs w:val="32"/>
        </w:rPr>
        <w:t>问题1：请问维泰瑞隆(北京)生物科技有限公司尚立斌尚博士，我们关注到维泰瑞隆2022年8月完成了两亿美元B轮融资，是去年全球生物技术领域融资额最高的10家公司之一，受到了广泛的关注，想请您具体谈谈公司进展情况？</w:t>
      </w:r>
      <w:r>
        <w:rPr>
          <w:rFonts w:ascii="仿宋" w:hAnsi="仿宋" w:eastAsia="仿宋" w:cs="仿宋_GB2312"/>
          <w:b/>
          <w:bCs/>
          <w:sz w:val="32"/>
          <w:szCs w:val="32"/>
        </w:rPr>
        <w:t>？</w:t>
      </w:r>
    </w:p>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___WRD_EMBED_SUB_46" w:hAnsi="___WRD_EMBED_SUB_46" w:eastAsia="___WRD_EMBED_SUB_46" w:cs="___WRD_EMBED_SUB_46"/>
          <w:sz w:val="32"/>
          <w:szCs w:val="32"/>
        </w:rPr>
        <w:t>：</w:t>
      </w:r>
      <w:r>
        <w:rPr>
          <w:rFonts w:hint="eastAsia" w:ascii="仿宋" w:hAnsi="仿宋" w:eastAsia="仿宋" w:cs="仿宋_GB2312"/>
          <w:sz w:val="32"/>
          <w:szCs w:val="32"/>
        </w:rPr>
        <w:t>维泰瑞隆于2018年成立于昌平区生命科学园，是一家新兴的生物科技公司，致力于在全球范围内探索和开发用于治疗衰老相关退行性疾病的创新药物。公司在成立之初即参加2018中关村国际前沿科技创新大赛，并获得大赛二等奖、医药健康领域冠军TOP10第一名的荣誉。通过大赛，企业获得北京市科委、中关村管委会及相关部门对于前沿企业的重点关注和帮助，包括中关村前沿企业支持资金、人才引进、政策宣贯辅导、系列技能培训课程等等，为企业长远发展提供多维度保障支持。</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目前，针对衰老相关退行性疾病，临床上仍主要采取姑息治疗，仅侧重于缓解症状的治疗手段。过去很长时间以来，全球也有很多生物制药公司都力争为该类疾病治疗找到根本性的解决方法，目前仍都在探索中。维泰瑞隆基于联合创始人王晓东院士和张志远博士多年的前沿研究成果，希望通过进一步探索衰老相关退行性疾病的关键致病通路并进行临床药物的开发。</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维泰瑞隆的研发管线包含多个项目，均聚焦于衰老相关退行性疾病的致病机理，包括细胞程序性死亡、神经保护性通路和神经炎症。维泰瑞隆计划将所募资金用于受体相互作用蛋白激酶1 (RIPK1)抑制剂的临床开发，并进一步扩大公司研发规模、拓展研发管线，针对衰老相关退行性疾病开发各项潜在同类最佳/同类第一的候选药物。</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作为一家快速成长的临床阶段公司，维泰瑞隆已有两款候选药物SIR0365和SIR2446处于开展早期临床研究阶段，同时我们有信心将更多的研发项目推向临床。</w:t>
      </w:r>
    </w:p>
    <w:p>
      <w:pPr>
        <w:spacing w:line="560" w:lineRule="exact"/>
        <w:ind w:firstLine="643" w:firstLineChars="200"/>
        <w:rPr>
          <w:rFonts w:ascii="黑体" w:hAnsi="黑体" w:eastAsia="黑体" w:cs="黑体"/>
          <w:sz w:val="32"/>
          <w:szCs w:val="32"/>
        </w:rPr>
      </w:pPr>
      <w:r>
        <w:rPr>
          <w:rFonts w:hint="eastAsia" w:ascii="仿宋" w:hAnsi="仿宋" w:eastAsia="仿宋" w:cs="仿宋_GB2312"/>
          <w:b/>
          <w:bCs/>
          <w:sz w:val="32"/>
          <w:szCs w:val="32"/>
        </w:rPr>
        <w:t>问题</w:t>
      </w:r>
      <w:r>
        <w:rPr>
          <w:rFonts w:ascii="仿宋" w:hAnsi="仿宋" w:eastAsia="仿宋" w:cs="仿宋_GB2312"/>
          <w:b/>
          <w:bCs/>
          <w:sz w:val="32"/>
          <w:szCs w:val="32"/>
        </w:rPr>
        <w:t>2</w:t>
      </w:r>
      <w:r>
        <w:rPr>
          <w:rFonts w:hint="eastAsia" w:ascii="仿宋" w:hAnsi="仿宋" w:eastAsia="仿宋" w:cs="仿宋_GB2312"/>
          <w:b/>
          <w:bCs/>
          <w:sz w:val="32"/>
          <w:szCs w:val="32"/>
        </w:rPr>
        <w:t>：针对与衰老相关的神经退行性疾病，公司未来的发展计划是？</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衰老是一个多因素参与的慢性的病变过程，最有效的干预需要多靶点的协同作用，面对目前缺乏有效疗法的现状，我们两位创始人认为必须找到能够直接针对致病机理的治疗手段，为此，我们聚焦于该类疾病的关键致病通路，致力于开发能够从根本上解决衰老相关退行性疾病的变革性疗法。未来，公司的开发策略仍将持续不断探索新的生物学机制，以患者需求为中心，努力实现“变革衰老相关退行性疾病的治疗模式，改善全球数百万患者及家庭的生活质量”的愿景。</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解决该类疾病未被满足的临床需求是世界性的难题，需要厚积薄发。公司现在已经搭建了优秀的管理和研发团队，近年来引进首席执行官任刚博士、研发高级副总裁徐彦平博士，还包括多位来自世界知名制药企业具有15年以上丰富经验的科学家及管理人才，研发团队中博士和硕士占比约为70%，我们有望取得重大技术突破，加速临床适应症的开发，满足巨大的医疗需求。</w:t>
      </w:r>
    </w:p>
    <w:p>
      <w:pPr>
        <w:spacing w:line="560" w:lineRule="exact"/>
        <w:ind w:firstLine="640" w:firstLineChars="200"/>
        <w:jc w:val="left"/>
        <w:rPr>
          <w:rFonts w:ascii="黑体" w:hAnsi="黑体" w:eastAsia="黑体" w:cs="黑体"/>
          <w:sz w:val="32"/>
          <w:szCs w:val="32"/>
        </w:rPr>
      </w:pPr>
    </w:p>
    <w:p>
      <w:pPr>
        <w:spacing w:line="560" w:lineRule="exact"/>
        <w:ind w:firstLine="640" w:firstLineChars="200"/>
        <w:jc w:val="left"/>
        <w:rPr>
          <w:rFonts w:ascii="黑体" w:hAnsi="黑体" w:eastAsia="黑体" w:cs="黑体"/>
          <w:sz w:val="32"/>
          <w:szCs w:val="32"/>
        </w:rPr>
      </w:pPr>
      <w:r>
        <w:rPr>
          <w:rFonts w:hint="eastAsia" w:ascii="黑体" w:hAnsi="黑体" w:eastAsia="黑体" w:cs="黑体"/>
          <w:sz w:val="32"/>
          <w:szCs w:val="32"/>
        </w:rPr>
        <w:t>五、杉数科技（北京）有限公司</w:t>
      </w:r>
    </w:p>
    <w:p>
      <w:pPr>
        <w:spacing w:line="560" w:lineRule="exact"/>
        <w:ind w:firstLine="643" w:firstLineChars="200"/>
        <w:rPr>
          <w:rFonts w:ascii="仿宋" w:hAnsi="仿宋" w:eastAsia="仿宋" w:cs="仿宋_GB2312"/>
          <w:b/>
          <w:bCs/>
          <w:sz w:val="32"/>
          <w:szCs w:val="32"/>
        </w:rPr>
      </w:pPr>
      <w:r>
        <w:rPr>
          <w:rFonts w:hint="eastAsia" w:ascii="仿宋" w:hAnsi="仿宋" w:eastAsia="仿宋" w:cs="仿宋_GB2312"/>
          <w:b/>
          <w:bCs/>
          <w:sz w:val="32"/>
          <w:szCs w:val="32"/>
        </w:rPr>
        <w:t>问题1：请问杉数科技（北京）有限公司高季尧高总，在2019中关村国际前沿科技创新大赛总决赛取得非常不错的成绩，近几年来核心产品技术的发展情况如何？</w:t>
      </w:r>
    </w:p>
    <w:p>
      <w:pPr>
        <w:spacing w:line="64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___WRD_EMBED_SUB_46" w:hAnsi="___WRD_EMBED_SUB_46" w:eastAsia="___WRD_EMBED_SUB_46" w:cs="___WRD_EMBED_SUB_46"/>
          <w:sz w:val="32"/>
          <w:szCs w:val="32"/>
        </w:rPr>
        <w:t>：</w:t>
      </w:r>
      <w:r>
        <w:rPr>
          <w:rFonts w:hint="eastAsia" w:ascii="仿宋" w:hAnsi="仿宋" w:eastAsia="仿宋" w:cs="仿宋_GB2312"/>
          <w:sz w:val="32"/>
          <w:szCs w:val="32"/>
        </w:rPr>
        <w:t>杉数科技坚持关键技术自主创新，拥有中国首款全自研大规模商业求解器COPT（线性规划和整数规划），自2019年发布以来，快速升级迭代，2023年4月，杉数求解器COPT 6.5正式发布，混合整数规划求解性能大幅提升，新增callback功能，改进indicator和SOS约束底层实现，显著提升其稳定性。</w:t>
      </w:r>
    </w:p>
    <w:p>
      <w:pPr>
        <w:spacing w:line="64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杉数科技以自研大规模商用求解器COPT为核心引擎，打造“计算引擎+决策技术中台+业务场景”的端到端智能决策技术平台，以完整的技术能力和高度模块化的产品架构，为客户提供灵活、轻便、高效的决策优化服务。面向供应链、生产制造、仓储配送、物流运输等形成系列标准化的平台方案，其中包括：消费智能运营决策优化平台-计划宇宙，为企业打造AI时代的端到端分析、计划与决策平台，将企业级大数据处理能力、决策模型算法模块以及业务场景解决方案一站式整合，解决企业所遇到的供应链管理难题；工业智能制造决策优化平台-杉数数弈，构建面向设备管理、面向生产制造、面向运营调度以及面向产业链服务全流程的工业互联网智能决策系统，为广大制造业企业提供实时高效的协同计划与智能调度能力。</w:t>
      </w:r>
    </w:p>
    <w:p>
      <w:pPr>
        <w:spacing w:line="560" w:lineRule="exact"/>
        <w:ind w:firstLine="643" w:firstLineChars="200"/>
        <w:rPr>
          <w:rFonts w:ascii="仿宋" w:hAnsi="仿宋" w:eastAsia="仿宋" w:cs="仿宋_GB2312"/>
          <w:b/>
          <w:bCs/>
          <w:sz w:val="32"/>
          <w:szCs w:val="32"/>
        </w:rPr>
      </w:pPr>
      <w:r>
        <w:rPr>
          <w:rFonts w:hint="eastAsia" w:ascii="仿宋" w:hAnsi="仿宋" w:eastAsia="仿宋" w:cs="仿宋_GB2312"/>
          <w:b/>
          <w:bCs/>
          <w:sz w:val="32"/>
          <w:szCs w:val="32"/>
        </w:rPr>
        <w:t>问题</w:t>
      </w:r>
      <w:r>
        <w:rPr>
          <w:rFonts w:ascii="仿宋" w:hAnsi="仿宋" w:eastAsia="仿宋" w:cs="仿宋_GB2312"/>
          <w:b/>
          <w:bCs/>
          <w:sz w:val="32"/>
          <w:szCs w:val="32"/>
        </w:rPr>
        <w:t>2</w:t>
      </w:r>
      <w:r>
        <w:rPr>
          <w:rFonts w:hint="eastAsia" w:ascii="仿宋" w:hAnsi="仿宋" w:eastAsia="仿宋" w:cs="仿宋_GB2312"/>
          <w:b/>
          <w:bCs/>
          <w:sz w:val="32"/>
          <w:szCs w:val="32"/>
        </w:rPr>
        <w:t>：杉数科技作为智能决策技术的领军企业，现在行业落地情况如何，近期融资动态能否披露下？</w:t>
      </w:r>
    </w:p>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___WRD_EMBED_SUB_46" w:hAnsi="___WRD_EMBED_SUB_46" w:eastAsia="___WRD_EMBED_SUB_46" w:cs="___WRD_EMBED_SUB_46"/>
          <w:sz w:val="32"/>
          <w:szCs w:val="32"/>
        </w:rPr>
        <w:t>：</w:t>
      </w:r>
      <w:r>
        <w:rPr>
          <w:rFonts w:hint="eastAsia" w:ascii="仿宋" w:hAnsi="仿宋" w:eastAsia="仿宋" w:cs="仿宋_GB2312"/>
          <w:sz w:val="32"/>
          <w:szCs w:val="32"/>
        </w:rPr>
        <w:t>杉数科技智能决策技术已在工业制造、快消零售、电商物流、轨道交通、能源电力、航空航天等20多个细分领域落地应用，服务了包括华为、富士康、海尔、小米、上海地铁、京港地铁、东方日升、上汽通用、一汽大众、上汽乘用车、中国商飞、六国化工、中升钢铁、雀巢、百威英博、好丽友、京东、永辉超市、滴滴、顺丰、中外运、国家电网以及南方航空等巨头在内的数百家国内外行业头部企业。</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杉数科技近期连续完成近5亿元C2及C2+轮融资：C2轮融资由越秀产业基金领投；C2+轮由国开制造业转型升级基金领投。</w:t>
      </w:r>
    </w:p>
    <w:p>
      <w:pPr>
        <w:spacing w:line="560" w:lineRule="exact"/>
        <w:ind w:firstLine="640" w:firstLineChars="200"/>
        <w:rPr>
          <w:rFonts w:ascii="仿宋" w:hAnsi="仿宋" w:eastAsia="仿宋" w:cs="仿宋_GB2312"/>
          <w:sz w:val="32"/>
          <w:szCs w:val="32"/>
        </w:rPr>
      </w:pPr>
    </w:p>
    <w:p>
      <w:pPr>
        <w:spacing w:line="560" w:lineRule="exact"/>
        <w:ind w:firstLine="640" w:firstLineChars="200"/>
        <w:rPr>
          <w:rFonts w:hint="eastAsia" w:ascii="黑体" w:hAnsi="黑体" w:eastAsia="黑体" w:cs="黑体"/>
          <w:sz w:val="32"/>
          <w:szCs w:val="32"/>
        </w:rPr>
      </w:pPr>
    </w:p>
    <w:p>
      <w:pPr>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六、北京诺诚健华医药科技有限公司</w:t>
      </w:r>
    </w:p>
    <w:p>
      <w:pPr>
        <w:spacing w:line="560" w:lineRule="exact"/>
        <w:ind w:firstLine="643" w:firstLineChars="200"/>
        <w:rPr>
          <w:rFonts w:ascii="仿宋" w:hAnsi="仿宋" w:eastAsia="仿宋" w:cs="仿宋_GB2312"/>
          <w:sz w:val="32"/>
          <w:szCs w:val="32"/>
        </w:rPr>
      </w:pPr>
      <w:r>
        <w:rPr>
          <w:rFonts w:hint="eastAsia" w:ascii="仿宋_GB2312" w:hAnsi="仿宋_GB2312" w:eastAsia="仿宋_GB2312" w:cs="仿宋_GB2312"/>
          <w:b/>
          <w:bCs/>
          <w:sz w:val="32"/>
          <w:szCs w:val="32"/>
        </w:rPr>
        <w:t>问题1：</w:t>
      </w:r>
      <w:r>
        <w:rPr>
          <w:rFonts w:hint="eastAsia" w:ascii="仿宋" w:hAnsi="仿宋" w:eastAsia="仿宋" w:cs="仿宋_GB2312"/>
          <w:b/>
          <w:bCs/>
          <w:sz w:val="32"/>
          <w:szCs w:val="32"/>
        </w:rPr>
        <w:t>请问北京诺诚健华医药科技有限公司郑慧铭郑总，作为一家上市公司，请问参加前沿大赛对企业发展有什么帮助</w:t>
      </w:r>
      <w:r>
        <w:rPr>
          <w:rFonts w:ascii="仿宋" w:hAnsi="仿宋" w:eastAsia="仿宋" w:cs="仿宋_GB2312"/>
          <w:b/>
          <w:bCs/>
          <w:sz w:val="32"/>
          <w:szCs w:val="32"/>
        </w:rPr>
        <w:t>？</w:t>
      </w:r>
    </w:p>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仿宋" w:hAnsi="仿宋" w:eastAsia="仿宋" w:cs="仿宋_GB2312"/>
          <w:sz w:val="32"/>
          <w:szCs w:val="32"/>
        </w:rPr>
        <w:t>：诺诚健华是总部在北京昌平的、港股+科创板两地上市新药创制企业，与前沿大赛缘起2018年，诺诚健华联合创始人、董事长兼CEO崔霁松博士在中关村前沿大赛做了诺诚健华的首次路演， 2018年2月6日，诺诚健华完成了5500万美元融资。可以说，这次路演，实现了诺诚健华路演零到一的突破，为诺诚健华日后的若干场路演奠定了基础。此次路演之后，诺诚健华获评“中关村前沿技术企业”资质，获得北京市科委、中关村管委会的媒体宣传支持，并且在中关村国家自主创新示范区展示中心进行展示，并免费参加科博会、双创周、中关村论坛等一系列展会，扩大了诺诚健华品牌影响力，增进了投资人对诺诚健华的了解，持续获得资本青睐。自此之后，2018年末诺诚健华又完成了1.6亿美元的融资，直至2020年在香港联交所成功上市，2022年又在上海科创板成功上市。</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另外，北京丰富多样的产业结构，对初创企业非常友好。作为北京创新创业发展轨道下的践行者，诺诚健华近8年时光里见证了中关村医药健康产业协同的蓬勃发展。2018年与诺诚健华同台路演的另外6家企业，有艺妙神州，有合生基因，有药渡经纬，现在都是很优秀的企业，和诺诚健华一起形成全产业链资源聚集协同发展格局。无论企业身处产业链哪个环节，都能找到上下游合作伙伴，助力自身发展。诺诚健华现在就与北京多家CRO公司、临床机构、基因检测公司在未知领域携手并进，探索延展前沿科技的边界。</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现在，诺诚健华在北京和广州都建有超过100亩的研发生产基地，将一直秉承“科学驱动创新，患者所需为本”的理念，重视颠覆性技术创新，不断研制出更多更好的药物回报社会，更好地造福人民群众，助力健康中国，健康北京的建设。。</w:t>
      </w:r>
    </w:p>
    <w:p>
      <w:pPr>
        <w:spacing w:line="560" w:lineRule="exact"/>
        <w:ind w:firstLine="643" w:firstLineChars="200"/>
        <w:rPr>
          <w:rFonts w:ascii="仿宋" w:hAnsi="仿宋" w:eastAsia="仿宋" w:cs="仿宋_GB2312"/>
          <w:sz w:val="32"/>
          <w:szCs w:val="32"/>
        </w:rPr>
      </w:pPr>
      <w:r>
        <w:rPr>
          <w:rFonts w:hint="eastAsia" w:ascii="仿宋_GB2312" w:hAnsi="仿宋_GB2312" w:eastAsia="仿宋_GB2312" w:cs="仿宋_GB2312"/>
          <w:b/>
          <w:bCs/>
          <w:sz w:val="32"/>
          <w:szCs w:val="32"/>
        </w:rPr>
        <w:t>问题</w:t>
      </w:r>
      <w:r>
        <w:rPr>
          <w:rFonts w:ascii="仿宋_GB2312" w:hAnsi="仿宋_GB2312" w:eastAsia="仿宋_GB2312" w:cs="仿宋_GB2312"/>
          <w:b/>
          <w:bCs/>
          <w:sz w:val="32"/>
          <w:szCs w:val="32"/>
        </w:rPr>
        <w:t>2</w:t>
      </w:r>
      <w:r>
        <w:rPr>
          <w:rFonts w:hint="eastAsia" w:ascii="仿宋_GB2312" w:hAnsi="仿宋_GB2312" w:eastAsia="仿宋_GB2312" w:cs="仿宋_GB2312"/>
          <w:b/>
          <w:bCs/>
          <w:sz w:val="32"/>
          <w:szCs w:val="32"/>
        </w:rPr>
        <w:t>：</w:t>
      </w:r>
      <w:r>
        <w:rPr>
          <w:rFonts w:hint="eastAsia" w:ascii="仿宋" w:hAnsi="仿宋" w:eastAsia="仿宋" w:cs="仿宋_GB2312"/>
          <w:b/>
          <w:bCs/>
          <w:sz w:val="32"/>
          <w:szCs w:val="32"/>
        </w:rPr>
        <w:t>前沿大赛后，企业在国际市场开拓方面有哪些进展</w:t>
      </w:r>
      <w:r>
        <w:rPr>
          <w:rFonts w:ascii="仿宋" w:hAnsi="仿宋" w:eastAsia="仿宋" w:cs="仿宋_GB2312"/>
          <w:b/>
          <w:bCs/>
          <w:sz w:val="32"/>
          <w:szCs w:val="32"/>
        </w:rPr>
        <w:t>？</w:t>
      </w:r>
    </w:p>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仿宋" w:hAnsi="仿宋" w:eastAsia="仿宋" w:cs="仿宋_GB2312"/>
          <w:sz w:val="32"/>
          <w:szCs w:val="32"/>
        </w:rPr>
        <w:t>：在参加前沿大赛后，诺诚健华通过项目路演，使得更多的投资人对诺诚健华有了深入认识。国际化是中国生物医药企业发展的必经之路。</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首先是全力推进创新药在海外上市。目前诺诚健华自主研发的</w:t>
      </w:r>
      <w:r>
        <w:rPr>
          <w:rFonts w:ascii="仿宋" w:hAnsi="仿宋" w:eastAsia="仿宋" w:cs="仿宋_GB2312"/>
          <w:sz w:val="32"/>
          <w:szCs w:val="32"/>
        </w:rPr>
        <w:t>BTK</w:t>
      </w:r>
      <w:r>
        <w:rPr>
          <w:rFonts w:hint="eastAsia" w:ascii="仿宋" w:hAnsi="仿宋" w:eastAsia="仿宋" w:cs="仿宋_GB2312"/>
          <w:sz w:val="32"/>
          <w:szCs w:val="32"/>
        </w:rPr>
        <w:t>抑制剂奥布替尼治疗复发</w:t>
      </w:r>
      <w:r>
        <w:rPr>
          <w:rFonts w:ascii="仿宋" w:hAnsi="仿宋" w:eastAsia="仿宋" w:cs="仿宋_GB2312"/>
          <w:sz w:val="32"/>
          <w:szCs w:val="32"/>
        </w:rPr>
        <w:t>/</w:t>
      </w:r>
      <w:r>
        <w:rPr>
          <w:rFonts w:hint="eastAsia" w:ascii="仿宋" w:hAnsi="仿宋" w:eastAsia="仿宋" w:cs="仿宋_GB2312"/>
          <w:sz w:val="32"/>
          <w:szCs w:val="32"/>
        </w:rPr>
        <w:t>难治性套细胞淋巴瘤在新加坡获批上市，奥布替尼治疗复发</w:t>
      </w:r>
      <w:r>
        <w:rPr>
          <w:rFonts w:ascii="仿宋" w:hAnsi="仿宋" w:eastAsia="仿宋" w:cs="仿宋_GB2312"/>
          <w:sz w:val="32"/>
          <w:szCs w:val="32"/>
        </w:rPr>
        <w:t>/</w:t>
      </w:r>
      <w:r>
        <w:rPr>
          <w:rFonts w:hint="eastAsia" w:ascii="仿宋" w:hAnsi="仿宋" w:eastAsia="仿宋" w:cs="仿宋_GB2312"/>
          <w:sz w:val="32"/>
          <w:szCs w:val="32"/>
        </w:rPr>
        <w:t>难治性套细胞淋巴瘤在美国完成患者入组，预计明年在美国提交新药申请（</w:t>
      </w:r>
      <w:r>
        <w:rPr>
          <w:rFonts w:ascii="仿宋" w:hAnsi="仿宋" w:eastAsia="仿宋" w:cs="仿宋_GB2312"/>
          <w:sz w:val="32"/>
          <w:szCs w:val="32"/>
        </w:rPr>
        <w:t>NDA</w:t>
      </w:r>
      <w:r>
        <w:rPr>
          <w:rFonts w:hint="eastAsia" w:ascii="仿宋" w:hAnsi="仿宋" w:eastAsia="仿宋" w:cs="仿宋_GB2312"/>
          <w:sz w:val="32"/>
          <w:szCs w:val="32"/>
        </w:rPr>
        <w:t>）。</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其次是不断推进全球多中心临床试验，诺诚健华在全球开展了</w:t>
      </w:r>
      <w:r>
        <w:rPr>
          <w:rFonts w:ascii="仿宋" w:hAnsi="仿宋" w:eastAsia="仿宋" w:cs="仿宋_GB2312"/>
          <w:sz w:val="32"/>
          <w:szCs w:val="32"/>
        </w:rPr>
        <w:t>30</w:t>
      </w:r>
      <w:r>
        <w:rPr>
          <w:rFonts w:hint="eastAsia" w:ascii="仿宋" w:hAnsi="仿宋" w:eastAsia="仿宋" w:cs="仿宋_GB2312"/>
          <w:sz w:val="32"/>
          <w:szCs w:val="32"/>
        </w:rPr>
        <w:t>多项临床试验，以实现产品管线中的候选药物早日造福全球。</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第三是通过对外授权和对外引进走国际化道路。创新药前期研发投入很大，因此走国际化道路十分必要，中国生物创新药企业通过海外上市或者对外授权不仅有助于惠及全球患者，同时助力提高公司营收。</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对于生物医药而言，国际化最需要的品质就是创新。创新药在国际化方面能不能成功最为重要的因素就是创新。生物医药的发展离不开创新，创新则离不开人才，只有不断夯实创新，最终取得优秀的临床数据，才能获得国际市场的认可。</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诺诚健华正积极寻求更多对外授权的机会，也计划在全球范围内寻求与公司现有资产及平台相辅相成的授权引进机会，以最大化公司资产的商业价值。</w:t>
      </w:r>
    </w:p>
    <w:p>
      <w:pPr>
        <w:spacing w:line="560" w:lineRule="exact"/>
        <w:ind w:firstLine="640" w:firstLineChars="200"/>
        <w:jc w:val="left"/>
        <w:rPr>
          <w:rFonts w:ascii="黑体" w:hAnsi="黑体" w:eastAsia="黑体" w:cs="黑体"/>
          <w:sz w:val="32"/>
          <w:szCs w:val="32"/>
        </w:rPr>
      </w:pPr>
    </w:p>
    <w:p>
      <w:pPr>
        <w:spacing w:line="560" w:lineRule="exact"/>
        <w:ind w:firstLine="640" w:firstLineChars="200"/>
        <w:jc w:val="left"/>
        <w:rPr>
          <w:rFonts w:ascii="黑体" w:hAnsi="黑体" w:eastAsia="黑体" w:cs="黑体"/>
          <w:sz w:val="32"/>
          <w:szCs w:val="32"/>
        </w:rPr>
      </w:pPr>
      <w:r>
        <w:rPr>
          <w:rFonts w:hint="eastAsia" w:ascii="黑体" w:hAnsi="黑体" w:eastAsia="黑体" w:cs="黑体"/>
          <w:sz w:val="32"/>
          <w:szCs w:val="32"/>
        </w:rPr>
        <w:t>七、英达视（北京）智能科技有限公司</w:t>
      </w:r>
    </w:p>
    <w:p>
      <w:pPr>
        <w:spacing w:line="560" w:lineRule="exact"/>
        <w:ind w:firstLine="643" w:firstLineChars="200"/>
        <w:rPr>
          <w:rFonts w:ascii="仿宋" w:hAnsi="仿宋" w:eastAsia="仿宋" w:cs="仿宋_GB2312"/>
          <w:b/>
          <w:bCs/>
          <w:sz w:val="32"/>
          <w:szCs w:val="32"/>
        </w:rPr>
      </w:pPr>
      <w:r>
        <w:rPr>
          <w:rFonts w:hint="eastAsia" w:ascii="仿宋" w:hAnsi="仿宋" w:eastAsia="仿宋" w:cs="仿宋_GB2312"/>
          <w:b/>
          <w:bCs/>
          <w:sz w:val="32"/>
          <w:szCs w:val="32"/>
        </w:rPr>
        <w:t>问题1：请问英达视（北京）智能科技有限公司CEO Allen Pan（外籍，中文名：潘致纶），你们公司叫industrialnext，想了解一下你们觉得引爆下一代工业革命的观念是什么</w:t>
      </w:r>
      <w:r>
        <w:rPr>
          <w:rFonts w:ascii="仿宋" w:hAnsi="仿宋" w:eastAsia="仿宋" w:cs="仿宋_GB2312"/>
          <w:b/>
          <w:bCs/>
          <w:sz w:val="32"/>
          <w:szCs w:val="32"/>
        </w:rPr>
        <w:t>？</w:t>
      </w:r>
    </w:p>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___WRD_EMBED_SUB_46" w:hAnsi="___WRD_EMBED_SUB_46" w:eastAsia="___WRD_EMBED_SUB_46" w:cs="___WRD_EMBED_SUB_46"/>
          <w:sz w:val="32"/>
          <w:szCs w:val="32"/>
        </w:rPr>
        <w:t>：</w:t>
      </w:r>
      <w:r>
        <w:rPr>
          <w:rFonts w:hint="eastAsia" w:ascii="仿宋" w:hAnsi="仿宋" w:eastAsia="仿宋" w:cs="仿宋_GB2312"/>
          <w:sz w:val="32"/>
          <w:szCs w:val="32"/>
        </w:rPr>
        <w:t>我们公司成立于2021年，团队曾经领导了特斯拉加州超级工厂的建设，完整交付了特斯拉Model 3产线升级解决方案，降低79%制费、51%BOM成本，缩短从工程车到量产车2月以上的周期。去年pre-A轮融资获得了8500万人民币，投资方有联想、小米等。很荣幸这次能参与到前沿科技大赛，让我们接触到更多新颖的创新理念，反哺到我们自己的产品开发中。</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我们观察到现在制造型企业有两类创新，一类是丰田渐进式的创新：处处可见精益生产的规范，管理层都有精益生产的思维，甚至每个线上的组长都会主动开发一些低成本的工装去提高劳动效率</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另一类是特斯拉颠覆式的创新：颠覆式的创新往往来自于跨界过来的其他行业，他们是搅局者，也可能是颠覆者。举个例子，特斯拉的70个零件合并成一个零件的压铸件，你再怎么去优化这七十几个小零件的冲压的单一成本，你都不足以去解决它变成一个零件之后带来的成本的下降。而且在渐进式优化的过程中，你会花费大量的管理成本。所以渐进式的创新，它能带来的改善是有限的，但是颠覆式的创新能够带来的改善是把天花板打开，把上限一下子提高很多。</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我们认为下一代工业革命需要制造型企业坚持做颠覆式创新。首先创造创新环境，提供试错空间，鼓励创新，容忍失败，相信未来有突破。并且不仅仅是公司高层制定方向，更要鼓励员工自下而上挖掘创新点，敢于发声。使用第一性原理颠覆式创新，这样才能产生如特斯拉一般一体式压铸，CTC，超短线束等颠覆式创新。同时，需要培养具有第一性管理创新思维的人才，推动组织不断向前发展。</w:t>
      </w:r>
    </w:p>
    <w:p>
      <w:pPr>
        <w:spacing w:line="560" w:lineRule="exact"/>
        <w:ind w:firstLine="643" w:firstLineChars="200"/>
        <w:rPr>
          <w:rFonts w:ascii="仿宋" w:hAnsi="仿宋" w:eastAsia="仿宋" w:cs="仿宋_GB2312"/>
          <w:sz w:val="32"/>
          <w:szCs w:val="32"/>
        </w:rPr>
      </w:pPr>
      <w:r>
        <w:rPr>
          <w:rFonts w:hint="eastAsia" w:ascii="仿宋" w:hAnsi="仿宋" w:eastAsia="仿宋" w:cs="仿宋_GB2312"/>
          <w:b/>
          <w:bCs/>
          <w:sz w:val="32"/>
          <w:szCs w:val="32"/>
        </w:rPr>
        <w:t>问题</w:t>
      </w:r>
      <w:r>
        <w:rPr>
          <w:rFonts w:ascii="仿宋" w:hAnsi="仿宋" w:eastAsia="仿宋" w:cs="仿宋_GB2312"/>
          <w:b/>
          <w:bCs/>
          <w:sz w:val="32"/>
          <w:szCs w:val="32"/>
        </w:rPr>
        <w:t>2</w:t>
      </w:r>
      <w:r>
        <w:rPr>
          <w:rFonts w:hint="eastAsia" w:ascii="仿宋" w:hAnsi="仿宋" w:eastAsia="仿宋" w:cs="仿宋_GB2312"/>
          <w:b/>
          <w:bCs/>
          <w:sz w:val="32"/>
          <w:szCs w:val="32"/>
        </w:rPr>
        <w:t>：听说你们是特斯拉加州超级工厂的生产团队，你们是如何赋能中国的超级工厂建设的？</w:t>
      </w:r>
    </w:p>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___WRD_EMBED_SUB_46" w:hAnsi="___WRD_EMBED_SUB_46" w:eastAsia="___WRD_EMBED_SUB_46" w:cs="___WRD_EMBED_SUB_46"/>
          <w:sz w:val="32"/>
          <w:szCs w:val="32"/>
        </w:rPr>
        <w:t>：</w:t>
      </w:r>
      <w:r>
        <w:rPr>
          <w:rFonts w:hint="eastAsia" w:ascii="仿宋" w:hAnsi="仿宋" w:eastAsia="仿宋" w:cs="仿宋_GB2312"/>
          <w:sz w:val="32"/>
          <w:szCs w:val="32"/>
        </w:rPr>
        <w:t>我们的团队曾经领导了特斯拉加州超级工厂的建设，将无人驾驶的技术应用到生产制造中；主导特斯拉Model 3产线升级解决方案，降低79%制费、51%BOM成本，缩短从工程车到量产车2月以上的周期。我们认为特斯拉的超级工厂模式是中国未来工厂建设的风向标，地缘政治下，未来的生产线将是一条完全自主、可互换（模块化）和可移动的装配线。在世界任何地方，可以快速创建新的生产线。如果我们今天从头开始设计制造业，并考虑在我们现有的技术下应该如何完成。那么，制造业看起来将与它现在的解决方案有很大的不同。</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为此，我们正在全面设计硬件，软件AI - 我们的传感器可以将自动化改造得更聪明，并为AI收集数据；接下来我们会为客户设计新的生产线，最后我们创建可以自主生产的产线。</w:t>
      </w:r>
    </w:p>
    <w:p>
      <w:pPr>
        <w:spacing w:line="560" w:lineRule="exact"/>
        <w:ind w:firstLine="640" w:firstLineChars="200"/>
        <w:rPr>
          <w:rFonts w:ascii="仿宋" w:hAnsi="仿宋" w:eastAsia="仿宋" w:cs="仿宋_GB2312"/>
          <w:sz w:val="32"/>
          <w:szCs w:val="32"/>
        </w:rPr>
      </w:pPr>
    </w:p>
    <w:p>
      <w:pPr>
        <w:spacing w:line="560" w:lineRule="exact"/>
        <w:ind w:firstLine="640" w:firstLineChars="200"/>
        <w:jc w:val="left"/>
        <w:rPr>
          <w:rFonts w:ascii="黑体" w:hAnsi="黑体" w:eastAsia="黑体" w:cs="黑体"/>
          <w:sz w:val="32"/>
          <w:szCs w:val="32"/>
        </w:rPr>
      </w:pPr>
      <w:bookmarkStart w:id="3" w:name="_Hlk135227310"/>
      <w:r>
        <w:rPr>
          <w:rFonts w:hint="eastAsia" w:ascii="黑体" w:hAnsi="黑体" w:eastAsia="黑体" w:cs="黑体"/>
          <w:sz w:val="32"/>
          <w:szCs w:val="32"/>
        </w:rPr>
        <w:t>八、北京至格科技有限公司</w:t>
      </w:r>
    </w:p>
    <w:p>
      <w:pPr>
        <w:spacing w:line="560" w:lineRule="exact"/>
        <w:ind w:firstLine="643" w:firstLineChars="200"/>
        <w:rPr>
          <w:rFonts w:ascii="仿宋" w:hAnsi="仿宋" w:eastAsia="仿宋" w:cs="仿宋_GB2312"/>
          <w:sz w:val="32"/>
          <w:szCs w:val="32"/>
        </w:rPr>
      </w:pPr>
      <w:r>
        <w:rPr>
          <w:rFonts w:hint="eastAsia" w:ascii="仿宋_GB2312" w:hAnsi="仿宋_GB2312" w:eastAsia="仿宋_GB2312" w:cs="仿宋_GB2312"/>
          <w:b/>
          <w:bCs/>
          <w:sz w:val="32"/>
          <w:szCs w:val="32"/>
        </w:rPr>
        <w:t>问题1：</w:t>
      </w:r>
      <w:r>
        <w:rPr>
          <w:rFonts w:hint="eastAsia" w:ascii="仿宋" w:hAnsi="仿宋" w:eastAsia="仿宋" w:cs="仿宋_GB2312"/>
          <w:b/>
          <w:bCs/>
          <w:sz w:val="32"/>
          <w:szCs w:val="32"/>
        </w:rPr>
        <w:t>请问北京至格科技有限公司CEO孟祥峰孟总，参加</w:t>
      </w:r>
      <w:r>
        <w:rPr>
          <w:rFonts w:ascii="仿宋" w:hAnsi="仿宋" w:eastAsia="仿宋" w:cs="仿宋_GB2312"/>
          <w:b/>
          <w:bCs/>
          <w:sz w:val="32"/>
          <w:szCs w:val="32"/>
        </w:rPr>
        <w:t>今年大赛</w:t>
      </w:r>
      <w:r>
        <w:rPr>
          <w:rFonts w:hint="eastAsia" w:ascii="仿宋" w:hAnsi="仿宋" w:eastAsia="仿宋" w:cs="仿宋_GB2312"/>
          <w:b/>
          <w:bCs/>
          <w:sz w:val="32"/>
          <w:szCs w:val="32"/>
        </w:rPr>
        <w:t>有什么感受可以分享</w:t>
      </w:r>
      <w:r>
        <w:rPr>
          <w:rFonts w:ascii="仿宋" w:hAnsi="仿宋" w:eastAsia="仿宋" w:cs="仿宋_GB2312"/>
          <w:b/>
          <w:bCs/>
          <w:sz w:val="32"/>
          <w:szCs w:val="32"/>
        </w:rPr>
        <w:t>？</w:t>
      </w:r>
    </w:p>
    <w:bookmarkEnd w:id="3"/>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___WRD_EMBED_SUB_46" w:hAnsi="___WRD_EMBED_SUB_46" w:eastAsia="___WRD_EMBED_SUB_46" w:cs="___WRD_EMBED_SUB_46"/>
          <w:sz w:val="32"/>
          <w:szCs w:val="32"/>
        </w:rPr>
        <w:t>：</w:t>
      </w:r>
      <w:r>
        <w:rPr>
          <w:rFonts w:hint="eastAsia" w:ascii="仿宋" w:hAnsi="仿宋" w:eastAsia="仿宋" w:cs="仿宋_GB2312"/>
          <w:sz w:val="32"/>
          <w:szCs w:val="32"/>
        </w:rPr>
        <w:t>我们的参赛项目是《增强现实(AR)衍射光波导及光学显示模组产业化》。项目研发的AR衍射光波导，是将现实世界和虚拟图像同时显示到人眼中的光学模块组合，约占AR硬件成本的40%以上，是AR硬件的核心和主要技术瓶颈，具有轻薄、透过率高、眼动范围大、量产成本低等优势，是行业最具发展潜力和最主流的AR光学显示技术方案，具有巨大的市场潜力和价值。项目也得到了资本的青睐，获得OPPO、小米、中芯国际等手机和半导体产业巨头的数亿元投资。</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中关村国际前沿科技创新大赛是具有国际影响力的高水平前沿科技创新大赛。大赛自2017年起，已成功举办六届。已有</w:t>
      </w:r>
      <w:r>
        <w:rPr>
          <w:rFonts w:ascii="仿宋" w:hAnsi="仿宋" w:eastAsia="仿宋" w:cs="仿宋_GB2312"/>
          <w:sz w:val="32"/>
          <w:szCs w:val="32"/>
        </w:rPr>
        <w:t>22</w:t>
      </w:r>
      <w:r>
        <w:rPr>
          <w:rFonts w:hint="eastAsia" w:ascii="仿宋" w:hAnsi="仿宋" w:eastAsia="仿宋" w:cs="仿宋_GB2312"/>
          <w:sz w:val="32"/>
          <w:szCs w:val="32"/>
        </w:rPr>
        <w:t>家企业成长为全球独角兽企业，</w:t>
      </w:r>
      <w:r>
        <w:rPr>
          <w:rFonts w:ascii="仿宋" w:hAnsi="仿宋" w:eastAsia="仿宋" w:cs="仿宋_GB2312"/>
          <w:sz w:val="32"/>
          <w:szCs w:val="32"/>
        </w:rPr>
        <w:t>14</w:t>
      </w:r>
      <w:r>
        <w:rPr>
          <w:rFonts w:hint="eastAsia" w:ascii="仿宋" w:hAnsi="仿宋" w:eastAsia="仿宋" w:cs="仿宋_GB2312"/>
          <w:sz w:val="32"/>
          <w:szCs w:val="32"/>
        </w:rPr>
        <w:t>家企业在境内外资本市场上市，前沿大赛已发展成为国内外具有影响力的硬科技大赛品牌。本届大赛吸引了来自海内外各个领域的2000多个创新项目报名参加，越来越多的全球首创、世界领先的前沿技术初创团队和企业参与大赛，核心技术强、团队层次高、业务资源广，多个项目在其细分领域已处于国际领先地位，真正把大赛打造成前沿科技的竞技平台。我们也看到了其中很多项目不仅站在了所在领域的国际科技前沿，还具有非常深厚的技术积累和广阔的市场前景，同时也是所在领域近年来表现最活跃、最优秀的项目，这也充分体现了本次大赛的水平和影响力。</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在赛事组织和辅导方面，本次大赛也表现出了非常高的专业性。在技术需求对接、投融资需求对接、落地服务、训练营服务、宣传展示服务等五大方面为参赛项目提供全面的服务和赋能，促进前沿科技商业化，推动项目产业化落地。</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通过参加大赛，市科委中关村管委会也帮助我们对接了更多的上下游企业和创新平台，为企业的业务开展提供便利。我们的项目成功获批了北京市科技重大专项，对项目全息光刻和离子束刻蚀母版加工工艺攻关，国内首个母版加工中心的建设起到了积极促进作用。我们与北京航空航天大学仪器科学与光电工程学院、中国科学院物理研究所、北京精雕科技集团有限公司等高校、研究所、企业开展合作交流，真正做到了产学研一体化。</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同时，通过参与本届大赛，我们的项目得到了市科委、中关村管委会以及产业各界的广泛认可和支持，进一步提升了公司在行业中的知名度。我们坚信，在市科委和中关村管委会的支持下，我们的项目将继续取得长足发展，为科技创新和产业升级贡献更多优秀成果。</w:t>
      </w:r>
    </w:p>
    <w:p>
      <w:pPr>
        <w:spacing w:line="560" w:lineRule="exact"/>
        <w:ind w:firstLine="643" w:firstLineChars="200"/>
        <w:rPr>
          <w:rFonts w:ascii="仿宋" w:hAnsi="仿宋" w:eastAsia="仿宋" w:cs="仿宋_GB2312"/>
          <w:sz w:val="32"/>
          <w:szCs w:val="32"/>
        </w:rPr>
      </w:pPr>
      <w:r>
        <w:rPr>
          <w:rFonts w:hint="eastAsia" w:ascii="仿宋_GB2312" w:hAnsi="仿宋_GB2312" w:eastAsia="仿宋_GB2312" w:cs="仿宋_GB2312"/>
          <w:b/>
          <w:bCs/>
          <w:sz w:val="32"/>
          <w:szCs w:val="32"/>
        </w:rPr>
        <w:t>问题</w:t>
      </w:r>
      <w:r>
        <w:rPr>
          <w:rFonts w:ascii="仿宋_GB2312" w:hAnsi="仿宋_GB2312" w:eastAsia="仿宋_GB2312" w:cs="仿宋_GB2312"/>
          <w:b/>
          <w:bCs/>
          <w:sz w:val="32"/>
          <w:szCs w:val="32"/>
        </w:rPr>
        <w:t>2</w:t>
      </w:r>
      <w:r>
        <w:rPr>
          <w:rFonts w:hint="eastAsia" w:ascii="仿宋_GB2312" w:hAnsi="仿宋_GB2312" w:eastAsia="仿宋_GB2312" w:cs="仿宋_GB2312"/>
          <w:b/>
          <w:bCs/>
          <w:sz w:val="32"/>
          <w:szCs w:val="32"/>
        </w:rPr>
        <w:t>：</w:t>
      </w:r>
      <w:r>
        <w:rPr>
          <w:rFonts w:hint="eastAsia" w:ascii="仿宋" w:hAnsi="仿宋" w:eastAsia="仿宋" w:cs="仿宋_GB2312"/>
          <w:b/>
          <w:bCs/>
          <w:sz w:val="32"/>
          <w:szCs w:val="32"/>
        </w:rPr>
        <w:t>请介绍一下公司核心团队以及项目下一步发展规划。</w:t>
      </w:r>
    </w:p>
    <w:p>
      <w:pPr>
        <w:spacing w:line="560" w:lineRule="exact"/>
        <w:ind w:firstLine="640" w:firstLineChars="200"/>
        <w:rPr>
          <w:rFonts w:ascii="仿宋" w:hAnsi="仿宋" w:eastAsia="仿宋" w:cs="仿宋_GB2312"/>
          <w:sz w:val="32"/>
          <w:szCs w:val="32"/>
        </w:rPr>
      </w:pPr>
      <w:r>
        <w:rPr>
          <w:rFonts w:hint="eastAsia" w:ascii="微软雅黑" w:hAnsi="微软雅黑" w:eastAsia="微软雅黑" w:cs="微软雅黑"/>
          <w:sz w:val="32"/>
          <w:szCs w:val="32"/>
        </w:rPr>
        <w:t>回答</w:t>
      </w:r>
      <w:r>
        <w:rPr>
          <w:rFonts w:hint="eastAsia" w:ascii="___WRD_EMBED_SUB_46" w:hAnsi="___WRD_EMBED_SUB_46" w:eastAsia="___WRD_EMBED_SUB_46" w:cs="___WRD_EMBED_SUB_46"/>
          <w:sz w:val="32"/>
          <w:szCs w:val="32"/>
        </w:rPr>
        <w:t>：</w:t>
      </w:r>
      <w:r>
        <w:rPr>
          <w:rFonts w:hint="eastAsia" w:ascii="仿宋" w:hAnsi="仿宋" w:eastAsia="仿宋" w:cs="仿宋_GB2312"/>
          <w:sz w:val="32"/>
          <w:szCs w:val="32"/>
        </w:rPr>
        <w:t>至格科技是由清华大学精密仪器系孵化的国家高新技术企业，核心团队由清华大学精密仪器系的两位教授和三位博士组成，我本人以及两位师弟冒新宇、赵宇暄都是李立峰教授和曾理江教授的博士生。李立峰教授是长江学者、杰青，国际著名的光栅专家；曾理江教授是杰青，国际著名的光栅工艺及测量专家。我们的核心管理团队都来自相关领域的上市公司，拥有丰富的从业经验和出色的业务能力。这些优势使得公司在技术研发和运营管理方面均处于行业领先水平。</w:t>
      </w:r>
    </w:p>
    <w:p>
      <w:pPr>
        <w:spacing w:line="56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我们的参赛项目依托清华大学二十余年的光栅领域科研成果进行产业转化，采用IDM模式，自主掌握“光栅设计、光栅母版加工、纳米压印生产”三大核心技术，建成国内首个AR衍射光波导母版加工中心和首条AR衍射光波导批量生产线，成功研发具有国际领先水平的AR衍射光波导光学显示模组，率先为OPPO首款AR智能眼镜独家供应衍射光波导镜片。项目的下一步发展规划：一是强化技术引领，持续提升产品性能，重点加强光栅设计及微纳加工工艺关键核心技术攻关，进一步巩固企业行业领先优势；二是推进产线建设，继续加快AR衍射光波导全自动化生产线建设达产和增强现实微纳智造平台的建设，将产品良率提升至95%以上，产能提升至100万件/年。三是拓展产品线，积极布局AR智能头显和车载AR-HUD广阔市场。</w:t>
      </w:r>
    </w:p>
    <w:p>
      <w:pPr>
        <w:spacing w:line="560" w:lineRule="exact"/>
        <w:ind w:firstLine="640" w:firstLineChars="200"/>
        <w:rPr>
          <w:rFonts w:ascii="仿宋" w:hAnsi="仿宋" w:eastAsia="仿宋" w:cs="仿宋_GB2312"/>
          <w:sz w:val="32"/>
          <w:szCs w:val="32"/>
        </w:rPr>
      </w:pPr>
      <w:bookmarkStart w:id="4" w:name="_GoBack"/>
      <w:bookmarkEnd w:id="4"/>
    </w:p>
    <w:sectPr>
      <w:pgSz w:w="11906" w:h="16838"/>
      <w:pgMar w:top="2098" w:right="1474" w:bottom="1984" w:left="158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FD12F3F1-28D9-53DA-40DA-6864696E8BEA}"/>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00000000" w:csb1="00000000"/>
  </w:font>
  <w:font w:name="Arial">
    <w:panose1 w:val="020B0604020202020204"/>
    <w:charset w:val="01"/>
    <w:family w:val="swiss"/>
    <w:pitch w:val="default"/>
    <w:sig w:usb0="00000000" w:usb1="00000000" w:usb2="00000000" w:usb3="00000000" w:csb0="00000000" w:csb1="0000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0000" w:usb1="00000000" w:usb2="00000000" w:usb3="00000000" w:csb0="00000000" w:csb1="0000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embedRegular r:id="rId2" w:fontKey="{A0801AC8-973B-5EAC-40DA-6864BC41A73F}"/>
  </w:font>
  <w:font w:name="Helvetica Neue">
    <w:panose1 w:val="02000503000000020004"/>
    <w:charset w:val="00"/>
    <w:family w:val="auto"/>
    <w:pitch w:val="default"/>
    <w:sig w:usb0="00000000" w:usb1="00000000" w:usb2="00000000" w:usb3="00000000" w:csb0="00000000" w:csb1="00000000"/>
  </w:font>
  <w:font w:name="汉仪书宋二KW">
    <w:panose1 w:val="00020600040101010101"/>
    <w:charset w:val="86"/>
    <w:family w:val="auto"/>
    <w:pitch w:val="default"/>
    <w:sig w:usb0="00000000" w:usb1="00000000" w:usb2="00000000" w:usb3="00000000" w:csb0="00160000" w:csb1="00000000"/>
  </w:font>
  <w:font w:name="等线 Light">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00000000" w:usb1="00000000" w:usb2="00000000" w:usb3="00000000" w:csb0="00160000" w:csb1="00000000"/>
  </w:font>
  <w:font w:name="汉仪中黑KW">
    <w:panose1 w:val="00020600040101010101"/>
    <w:charset w:val="86"/>
    <w:family w:val="auto"/>
    <w:pitch w:val="default"/>
    <w:sig w:usb0="00000000" w:usb1="00000000" w:usb2="00000000" w:usb3="00000000" w:csb0="00160000" w:csb1="00000000"/>
  </w:font>
  <w:font w:name="仿宋_GB2312">
    <w:panose1 w:val="02010609030101010101"/>
    <w:charset w:val="86"/>
    <w:family w:val="modern"/>
    <w:pitch w:val="default"/>
    <w:sig w:usb0="00000000" w:usb1="00000000" w:usb2="00000000" w:usb3="00000000" w:csb0="00060000" w:csb1="00000000"/>
    <w:embedRegular r:id="rId3" w:fontKey="{A0DF5D08-F398-7830-40DA-6864A3B03FEC}"/>
  </w:font>
  <w:font w:name="方正小标宋_GBK">
    <w:panose1 w:val="03000509000000000000"/>
    <w:charset w:val="86"/>
    <w:family w:val="script"/>
    <w:pitch w:val="default"/>
    <w:sig w:usb0="00000000" w:usb1="00000000" w:usb2="00000000" w:usb3="00000000" w:csb0="00160000" w:csb1="00000000"/>
    <w:embedRegular r:id="rId4" w:fontKey="{AB5ECA57-31DB-73E4-40DA-6864B1A44AAB}"/>
  </w:font>
  <w:font w:name="仿宋">
    <w:altName w:val="方正仿宋_GBK"/>
    <w:panose1 w:val="02010609060101010101"/>
    <w:charset w:val="86"/>
    <w:family w:val="modern"/>
    <w:pitch w:val="default"/>
    <w:sig w:usb0="00000000" w:usb1="00000000" w:usb2="00000016" w:usb3="00000000" w:csb0="00040001" w:csb1="00000000"/>
  </w:font>
  <w:font w:name="方正仿宋_GBK">
    <w:panose1 w:val="02000000000000000000"/>
    <w:charset w:val="86"/>
    <w:family w:val="auto"/>
    <w:pitch w:val="default"/>
    <w:sig w:usb0="00000000" w:usb1="00000000" w:usb2="00000000" w:usb3="00000000" w:csb0="00160000" w:csb1="00000000"/>
  </w:font>
  <w:font w:name="微软雅黑">
    <w:altName w:val="汉仪旗黑"/>
    <w:panose1 w:val="020B0503020204020204"/>
    <w:charset w:val="86"/>
    <w:family w:val="swiss"/>
    <w:pitch w:val="default"/>
    <w:sig w:usb0="00000000" w:usb1="00000000" w:usb2="00000016" w:usb3="00000000" w:csb0="0004001F" w:csb1="00000000"/>
  </w:font>
  <w:font w:name="汉仪旗黑">
    <w:panose1 w:val="00020600040101010101"/>
    <w:charset w:val="86"/>
    <w:family w:val="auto"/>
    <w:pitch w:val="default"/>
    <w:sig w:usb0="00000000" w:usb1="00000000" w:usb2="00000000" w:usb3="00000000" w:csb0="00060000" w:csb1="00000000"/>
  </w:font>
  <w:font w:name="___WRD_EMBED_SUB_46">
    <w:altName w:val="苹方-简"/>
    <w:panose1 w:val="00000000000000000000"/>
    <w:charset w:val="86"/>
    <w:family w:val="modern"/>
    <w:pitch w:val="default"/>
    <w:sig w:usb0="00000000" w:usb1="00000000" w:usb2="00000010" w:usb3="00000000" w:csb0="00040000" w:csb1="00000000"/>
  </w:font>
  <w:font w:name="苹方-简">
    <w:panose1 w:val="020B0400000000000000"/>
    <w:charset w:val="86"/>
    <w:family w:val="auto"/>
    <w:pitch w:val="default"/>
    <w:sig w:usb0="00000000" w:usb1="00000000" w:usb2="00000000" w:usb3="00000000" w:csb0="00160000" w:csb1="00000000"/>
  </w:font>
  <w:font w:name="Kingsoft Sign">
    <w:panose1 w:val="05050102010706020507"/>
    <w:charset w:val="00"/>
    <w:family w:val="auto"/>
    <w:pitch w:val="default"/>
    <w:sig w:usb0="00000000" w:usb1="00000000" w:usb2="0000000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4"/>
  <w:doNotDisplayPageBoundaries w:val="1"/>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cwZjg4MWJhZGQzNzQwNTNkNDg3ZTFiZmU3MzBmMGYifQ=="/>
  </w:docVars>
  <w:rsids>
    <w:rsidRoot w:val="007423FD"/>
    <w:rsid w:val="00006440"/>
    <w:rsid w:val="000278DB"/>
    <w:rsid w:val="00033919"/>
    <w:rsid w:val="00082897"/>
    <w:rsid w:val="00085228"/>
    <w:rsid w:val="00095013"/>
    <w:rsid w:val="000B76C4"/>
    <w:rsid w:val="00112F71"/>
    <w:rsid w:val="00127A42"/>
    <w:rsid w:val="00127E77"/>
    <w:rsid w:val="001C745D"/>
    <w:rsid w:val="001D0618"/>
    <w:rsid w:val="001F2981"/>
    <w:rsid w:val="00283D57"/>
    <w:rsid w:val="002A678D"/>
    <w:rsid w:val="002D2159"/>
    <w:rsid w:val="00360F76"/>
    <w:rsid w:val="00372B7C"/>
    <w:rsid w:val="003865FF"/>
    <w:rsid w:val="00394749"/>
    <w:rsid w:val="003B1E5D"/>
    <w:rsid w:val="003E6F07"/>
    <w:rsid w:val="004A00C3"/>
    <w:rsid w:val="004A4A85"/>
    <w:rsid w:val="004B6655"/>
    <w:rsid w:val="004E4761"/>
    <w:rsid w:val="00500B99"/>
    <w:rsid w:val="00554A85"/>
    <w:rsid w:val="0056450F"/>
    <w:rsid w:val="005A216B"/>
    <w:rsid w:val="005F0222"/>
    <w:rsid w:val="00672483"/>
    <w:rsid w:val="00672E16"/>
    <w:rsid w:val="00676BE9"/>
    <w:rsid w:val="006B1EE5"/>
    <w:rsid w:val="006D0F61"/>
    <w:rsid w:val="007423FD"/>
    <w:rsid w:val="00772B5E"/>
    <w:rsid w:val="00793106"/>
    <w:rsid w:val="00804ECD"/>
    <w:rsid w:val="00811C60"/>
    <w:rsid w:val="00891385"/>
    <w:rsid w:val="008D43DA"/>
    <w:rsid w:val="008E521D"/>
    <w:rsid w:val="00921C5B"/>
    <w:rsid w:val="00933ADE"/>
    <w:rsid w:val="009B0B68"/>
    <w:rsid w:val="009B443A"/>
    <w:rsid w:val="009D2292"/>
    <w:rsid w:val="00A53F58"/>
    <w:rsid w:val="00A66B4A"/>
    <w:rsid w:val="00A71DA9"/>
    <w:rsid w:val="00A81DD6"/>
    <w:rsid w:val="00AC4B94"/>
    <w:rsid w:val="00AE120E"/>
    <w:rsid w:val="00AF7890"/>
    <w:rsid w:val="00B1271C"/>
    <w:rsid w:val="00B157C1"/>
    <w:rsid w:val="00B351AA"/>
    <w:rsid w:val="00BA5AF1"/>
    <w:rsid w:val="00BB29CB"/>
    <w:rsid w:val="00C1141A"/>
    <w:rsid w:val="00C24701"/>
    <w:rsid w:val="00C30D49"/>
    <w:rsid w:val="00C372C1"/>
    <w:rsid w:val="00C46E70"/>
    <w:rsid w:val="00CB4AFA"/>
    <w:rsid w:val="00CE1C68"/>
    <w:rsid w:val="00CE6154"/>
    <w:rsid w:val="00CF0337"/>
    <w:rsid w:val="00D17744"/>
    <w:rsid w:val="00D22CEE"/>
    <w:rsid w:val="00E13D8F"/>
    <w:rsid w:val="00E16FAC"/>
    <w:rsid w:val="00E25D9D"/>
    <w:rsid w:val="00E371B4"/>
    <w:rsid w:val="00E40D38"/>
    <w:rsid w:val="00ED449C"/>
    <w:rsid w:val="00EE299F"/>
    <w:rsid w:val="00F2451F"/>
    <w:rsid w:val="00F543AD"/>
    <w:rsid w:val="00FD369A"/>
    <w:rsid w:val="00FF3578"/>
    <w:rsid w:val="03AE4EE3"/>
    <w:rsid w:val="09076295"/>
    <w:rsid w:val="12E50C66"/>
    <w:rsid w:val="17FD666C"/>
    <w:rsid w:val="19C34C3E"/>
    <w:rsid w:val="1A413E4A"/>
    <w:rsid w:val="1D514483"/>
    <w:rsid w:val="1E305FA0"/>
    <w:rsid w:val="1ECB1F51"/>
    <w:rsid w:val="1ECD144E"/>
    <w:rsid w:val="29DB3E76"/>
    <w:rsid w:val="3BFFC5E8"/>
    <w:rsid w:val="3D93589C"/>
    <w:rsid w:val="3E730AB5"/>
    <w:rsid w:val="3F346E2B"/>
    <w:rsid w:val="497A0819"/>
    <w:rsid w:val="544E4C01"/>
    <w:rsid w:val="58577426"/>
    <w:rsid w:val="5F72623C"/>
    <w:rsid w:val="620B6741"/>
    <w:rsid w:val="68DF523D"/>
    <w:rsid w:val="768E74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qFormat="1" w:uiPriority="99"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4"/>
    <w:basedOn w:val="1"/>
    <w:next w:val="1"/>
    <w:semiHidden/>
    <w:unhideWhenUsed/>
    <w:qFormat/>
    <w:uiPriority w:val="0"/>
    <w:pPr>
      <w:spacing w:beforeAutospacing="1" w:afterAutospacing="1"/>
      <w:jc w:val="left"/>
      <w:outlineLvl w:val="3"/>
    </w:pPr>
    <w:rPr>
      <w:rFonts w:hint="eastAsia" w:ascii="宋体" w:hAnsi="宋体" w:eastAsia="宋体" w:cs="Times New Roman"/>
      <w:b/>
      <w:bCs/>
      <w:kern w:val="0"/>
      <w:sz w:val="24"/>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3">
    <w:name w:val="Body Text"/>
    <w:basedOn w:val="1"/>
    <w:qFormat/>
    <w:uiPriority w:val="0"/>
    <w:pPr>
      <w:spacing w:after="120"/>
    </w:pPr>
  </w:style>
  <w:style w:type="paragraph" w:styleId="4">
    <w:name w:val="footer"/>
    <w:basedOn w:val="1"/>
    <w:link w:val="15"/>
    <w:qFormat/>
    <w:uiPriority w:val="0"/>
    <w:pPr>
      <w:tabs>
        <w:tab w:val="center" w:pos="4153"/>
        <w:tab w:val="right" w:pos="8306"/>
      </w:tabs>
      <w:snapToGrid w:val="0"/>
      <w:jc w:val="left"/>
    </w:pPr>
    <w:rPr>
      <w:sz w:val="18"/>
      <w:szCs w:val="18"/>
    </w:rPr>
  </w:style>
  <w:style w:type="paragraph" w:styleId="5">
    <w:name w:val="header"/>
    <w:basedOn w:val="1"/>
    <w:link w:val="14"/>
    <w:qFormat/>
    <w:uiPriority w:val="0"/>
    <w:pPr>
      <w:pBdr>
        <w:bottom w:val="single" w:color="auto" w:sz="6" w:space="1"/>
      </w:pBdr>
      <w:tabs>
        <w:tab w:val="center" w:pos="4153"/>
        <w:tab w:val="right" w:pos="8306"/>
      </w:tabs>
      <w:snapToGrid w:val="0"/>
      <w:jc w:val="center"/>
    </w:pPr>
    <w:rPr>
      <w:sz w:val="18"/>
      <w:szCs w:val="18"/>
    </w:rPr>
  </w:style>
  <w:style w:type="paragraph" w:styleId="6">
    <w:name w:val="index heading"/>
    <w:basedOn w:val="1"/>
    <w:next w:val="7"/>
    <w:unhideWhenUsed/>
    <w:qFormat/>
    <w:uiPriority w:val="99"/>
    <w:rPr>
      <w:rFonts w:ascii="等线 Light" w:hAnsi="等线 Light" w:eastAsia="等线 Light" w:cs="Times New Roman"/>
      <w:b/>
      <w:bCs/>
    </w:rPr>
  </w:style>
  <w:style w:type="paragraph" w:styleId="7">
    <w:name w:val="index 1"/>
    <w:basedOn w:val="1"/>
    <w:next w:val="1"/>
    <w:unhideWhenUsed/>
    <w:qFormat/>
    <w:uiPriority w:val="99"/>
    <w:pPr>
      <w:ind w:firstLine="640" w:firstLineChars="200"/>
    </w:pPr>
    <w:rPr>
      <w:rFonts w:ascii="黑体" w:hAnsi="黑体" w:eastAsia="黑体" w:cs="仿宋_GB2312"/>
      <w:color w:val="000000"/>
      <w:sz w:val="32"/>
      <w:szCs w:val="32"/>
    </w:rPr>
  </w:style>
  <w:style w:type="paragraph" w:styleId="8">
    <w:name w:val="Normal (Web)"/>
    <w:basedOn w:val="1"/>
    <w:qFormat/>
    <w:uiPriority w:val="0"/>
    <w:pPr>
      <w:spacing w:beforeAutospacing="1" w:afterAutospacing="1"/>
      <w:jc w:val="left"/>
    </w:pPr>
    <w:rPr>
      <w:rFonts w:cs="Times New Roman"/>
      <w:kern w:val="0"/>
      <w:sz w:val="24"/>
    </w:rPr>
  </w:style>
  <w:style w:type="character" w:styleId="11">
    <w:name w:val="Strong"/>
    <w:basedOn w:val="10"/>
    <w:qFormat/>
    <w:uiPriority w:val="0"/>
    <w:rPr>
      <w:b/>
    </w:rPr>
  </w:style>
  <w:style w:type="paragraph" w:customStyle="1" w:styleId="12">
    <w:name w:val="BodyText1I2"/>
    <w:basedOn w:val="13"/>
    <w:semiHidden/>
    <w:qFormat/>
    <w:uiPriority w:val="0"/>
    <w:pPr>
      <w:ind w:firstLine="420" w:firstLineChars="200"/>
    </w:pPr>
    <w:rPr>
      <w:rFonts w:ascii="Times New Roman" w:hAnsi="Times New Roman"/>
    </w:rPr>
  </w:style>
  <w:style w:type="paragraph" w:customStyle="1" w:styleId="13">
    <w:name w:val="BodyTextIndent"/>
    <w:basedOn w:val="1"/>
    <w:semiHidden/>
    <w:qFormat/>
    <w:uiPriority w:val="0"/>
    <w:pPr>
      <w:spacing w:after="120"/>
      <w:ind w:left="420" w:leftChars="200"/>
    </w:pPr>
  </w:style>
  <w:style w:type="character" w:customStyle="1" w:styleId="14">
    <w:name w:val="页眉 字符"/>
    <w:basedOn w:val="10"/>
    <w:link w:val="5"/>
    <w:qFormat/>
    <w:uiPriority w:val="0"/>
    <w:rPr>
      <w:kern w:val="2"/>
      <w:sz w:val="18"/>
      <w:szCs w:val="18"/>
    </w:rPr>
  </w:style>
  <w:style w:type="character" w:customStyle="1" w:styleId="15">
    <w:name w:val="页脚 字符"/>
    <w:basedOn w:val="10"/>
    <w:link w:val="4"/>
    <w:qFormat/>
    <w:uiPriority w:val="0"/>
    <w:rPr>
      <w:kern w:val="2"/>
      <w:sz w:val="18"/>
      <w:szCs w:val="18"/>
    </w:rPr>
  </w:style>
  <w:style w:type="paragraph" w:customStyle="1" w:styleId="16">
    <w:name w:val="Revision"/>
    <w:hidden/>
    <w:semiHidden/>
    <w:qFormat/>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20</Pages>
  <Words>1839</Words>
  <Characters>10486</Characters>
  <Lines>87</Lines>
  <Paragraphs>24</Paragraphs>
  <TotalTime>13</TotalTime>
  <ScaleCrop>false</ScaleCrop>
  <LinksUpToDate>false</LinksUpToDate>
  <CharactersWithSpaces>12301</CharactersWithSpaces>
  <Application>WPS Office_5.4.1.7920_F1E327BC-269C-435d-A152-05C5408002CA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2023-05-18T11:01:00Z</dcterms:created>
  <dc:creator>zhaojie</dc:creator>
  <cp:lastModifiedBy>穆瑛琦沉啊</cp:lastModifiedBy>
  <cp:lastPrinted>2022-09-08T15:21:00Z</cp:lastPrinted>
  <dcterms:modified xsi:type="dcterms:W3CDTF">2023-05-20T22:33:36Z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2052-5.4.1.7920</vt:lpwstr>
  </property>
  <property fmtid="{D5CDD505-2E9C-101B-9397-08002B2CF9AE}" pid="3" name="ICV">
    <vt:lpwstr>B79226DB2485479BAFDCBF46726C7F04</vt:lpwstr>
  </property>
</Properties>
</file>