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left"/>
        <w:rPr>
          <w:rFonts w:ascii="Songti SC Regular" w:hAnsi="Songti SC Regular" w:eastAsia="Songti SC Regular" w:cs="Arial"/>
          <w:b/>
          <w:bCs/>
          <w:color w:val="333333"/>
          <w:sz w:val="32"/>
          <w:szCs w:val="32"/>
        </w:rPr>
      </w:pPr>
      <w:r>
        <w:rPr>
          <w:rFonts w:hint="eastAsia" w:ascii="Songti SC Regular" w:hAnsi="Songti SC Regular" w:eastAsia="Songti SC Regular" w:cs="宋体"/>
          <w:b/>
          <w:bCs/>
          <w:color w:val="333333"/>
          <w:kern w:val="0"/>
          <w:sz w:val="32"/>
          <w:szCs w:val="32"/>
        </w:rPr>
        <w:t>附件：</w:t>
      </w:r>
      <w:r>
        <w:rPr>
          <w:rFonts w:ascii="Songti SC Regular" w:hAnsi="Songti SC Regular" w:eastAsia="Songti SC Regular" w:cs="Arial"/>
          <w:b/>
          <w:bCs/>
          <w:color w:val="333333"/>
          <w:kern w:val="0"/>
          <w:sz w:val="32"/>
          <w:szCs w:val="32"/>
        </w:rPr>
        <w:br w:type="textWrapping"/>
      </w:r>
      <w:r>
        <w:rPr>
          <w:rFonts w:ascii="Songti SC Regular" w:hAnsi="Songti SC Regular" w:eastAsia="Songti SC Regular" w:cs="Arial"/>
          <w:b/>
          <w:bCs/>
          <w:color w:val="333333"/>
          <w:kern w:val="0"/>
          <w:sz w:val="32"/>
          <w:szCs w:val="32"/>
        </w:rPr>
        <w:t>“</w:t>
      </w:r>
      <w:r>
        <w:rPr>
          <w:rFonts w:hint="eastAsia" w:ascii="Songti SC Regular" w:hAnsi="Songti SC Regular" w:eastAsia="Songti SC Regular" w:cs="宋体"/>
          <w:b/>
          <w:bCs/>
          <w:color w:val="333333"/>
          <w:kern w:val="0"/>
          <w:sz w:val="32"/>
          <w:szCs w:val="32"/>
        </w:rPr>
        <w:t>最美慈善义工十大榜样人物</w:t>
      </w:r>
      <w:r>
        <w:rPr>
          <w:rFonts w:hint="eastAsia" w:ascii="Songti SC Regular" w:hAnsi="Songti SC Regular" w:eastAsia="Songti SC Regular" w:cs="宋体"/>
          <w:b/>
          <w:bCs/>
          <w:color w:val="333333"/>
          <w:kern w:val="0"/>
          <w:sz w:val="32"/>
          <w:szCs w:val="32"/>
          <w:lang w:eastAsia="zh-CN"/>
        </w:rPr>
        <w:t>、</w:t>
      </w:r>
      <w:bookmarkStart w:id="0" w:name="_GoBack"/>
      <w:bookmarkEnd w:id="0"/>
      <w:r>
        <w:rPr>
          <w:rFonts w:hint="eastAsia" w:ascii="Songti SC Regular" w:hAnsi="Songti SC Regular" w:eastAsia="Songti SC Regular" w:cs="宋体"/>
          <w:b/>
          <w:bCs/>
          <w:color w:val="333333"/>
          <w:kern w:val="0"/>
          <w:sz w:val="32"/>
          <w:szCs w:val="32"/>
        </w:rPr>
        <w:t>团体</w:t>
      </w:r>
      <w:r>
        <w:rPr>
          <w:rFonts w:ascii="Songti SC Regular" w:hAnsi="Songti SC Regular" w:eastAsia="Songti SC Regular" w:cs="Arial"/>
          <w:b/>
          <w:bCs/>
          <w:color w:val="333333"/>
          <w:kern w:val="0"/>
          <w:sz w:val="32"/>
          <w:szCs w:val="32"/>
        </w:rPr>
        <w:t>”</w:t>
      </w:r>
      <w:r>
        <w:rPr>
          <w:rFonts w:hint="eastAsia" w:ascii="Songti SC Regular" w:hAnsi="Songti SC Regular" w:eastAsia="Songti SC Regular" w:cs="宋体"/>
          <w:b/>
          <w:bCs/>
          <w:color w:val="333333"/>
          <w:kern w:val="0"/>
          <w:sz w:val="32"/>
          <w:szCs w:val="32"/>
        </w:rPr>
        <w:t>名单（注：排名不分先后）</w:t>
      </w:r>
    </w:p>
    <w:tbl>
      <w:tblPr>
        <w:tblStyle w:val="6"/>
        <w:tblW w:w="9695" w:type="dxa"/>
        <w:jc w:val="center"/>
        <w:tblCellSpacing w:w="15" w:type="dxa"/>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
      <w:tblGrid>
        <w:gridCol w:w="1419"/>
        <w:gridCol w:w="1402"/>
        <w:gridCol w:w="1402"/>
        <w:gridCol w:w="2449"/>
        <w:gridCol w:w="3023"/>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4178" w:type="dxa"/>
            <w:gridSpan w:val="3"/>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最美慈善义工十大榜样人物</w:t>
            </w:r>
          </w:p>
        </w:tc>
        <w:tc>
          <w:tcPr>
            <w:tcW w:w="5427" w:type="dxa"/>
            <w:gridSpan w:val="2"/>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最美慈善义工十大榜样团体</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姓名</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性别</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年龄</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名称</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负责人</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沈腾</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48</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北京市女企业家协会志愿服务总队</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安钟岩</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沙有威</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67</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北京市慈善义工联合会风之彩分会</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刘慧娟</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姜莉</w:t>
            </w:r>
          </w:p>
          <w:p>
            <w:pPr>
              <w:widowControl/>
              <w:jc w:val="center"/>
              <w:rPr>
                <w:rFonts w:ascii="Songti SC Regular" w:hAnsi="Songti SC Regular" w:eastAsia="Songti SC Regular" w:cs="Times New Roman"/>
                <w:kern w:val="0"/>
                <w:sz w:val="24"/>
                <w:szCs w:val="24"/>
              </w:rPr>
            </w:pP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女</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b/>
                <w:bCs/>
                <w:kern w:val="0"/>
                <w:sz w:val="24"/>
                <w:szCs w:val="24"/>
              </w:rPr>
            </w:pPr>
            <w:r>
              <w:rPr>
                <w:rFonts w:ascii="Songti SC Regular" w:hAnsi="Songti SC Regular" w:eastAsia="Songti SC Regular" w:cs="宋体"/>
                <w:kern w:val="0"/>
                <w:sz w:val="24"/>
                <w:szCs w:val="24"/>
              </w:rPr>
              <w:t>44</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北京义联劳动法援助与研究中心</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韩世春</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富翔</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32</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北京春苗慈善基金会</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崔澜馨</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顾虹</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女</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58</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公交集团客运三分公司最美职工宣讲团</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张政</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李锐</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36</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北京北广传媒数字电视公司</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何公明</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高大勇</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43</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北京海鹰脊柱健康公益基金会</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刘海鹰</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黄金伶</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女</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48</w:t>
            </w:r>
          </w:p>
        </w:tc>
        <w:tc>
          <w:tcPr>
            <w:tcW w:w="2419" w:type="dxa"/>
            <w:tcMar>
              <w:top w:w="0" w:type="dxa"/>
              <w:left w:w="0" w:type="dxa"/>
              <w:bottom w:w="0" w:type="dxa"/>
              <w:right w:w="0" w:type="dxa"/>
            </w:tcMar>
            <w:vAlign w:val="center"/>
          </w:tcPr>
          <w:p>
            <w:pPr>
              <w:pStyle w:val="5"/>
              <w:spacing w:beforeAutospacing="0" w:afterAutospacing="0" w:line="480" w:lineRule="auto"/>
              <w:rPr>
                <w:rFonts w:ascii="Songti SC Regular" w:hAnsi="Songti SC Regular" w:eastAsia="Songti SC Regular" w:cs="Times New Roman"/>
              </w:rPr>
            </w:pPr>
            <w:r>
              <w:rPr>
                <w:rFonts w:hint="eastAsia" w:ascii="Songti SC Regular" w:hAnsi="Songti SC Regular" w:eastAsia="Songti SC Regular" w:cs="宋体"/>
              </w:rPr>
              <w:t>“光明影院”项目团队</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付海钲</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刘禹豪</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30</w:t>
            </w:r>
          </w:p>
        </w:tc>
        <w:tc>
          <w:tcPr>
            <w:tcW w:w="2419" w:type="dxa"/>
            <w:tcMar>
              <w:top w:w="0" w:type="dxa"/>
              <w:left w:w="0" w:type="dxa"/>
              <w:bottom w:w="0" w:type="dxa"/>
              <w:right w:w="0" w:type="dxa"/>
            </w:tcMar>
            <w:vAlign w:val="center"/>
          </w:tcPr>
          <w:p>
            <w:pPr>
              <w:widowControl/>
              <w:jc w:val="center"/>
              <w:rPr>
                <w:rFonts w:ascii="Songti SC Regular" w:hAnsi="Songti SC Regular" w:eastAsia="Songti SC Regular" w:cs="Times New Roman"/>
              </w:rPr>
            </w:pPr>
            <w:r>
              <w:rPr>
                <w:rFonts w:hint="eastAsia" w:ascii="Songti SC Regular" w:hAnsi="Songti SC Regular" w:eastAsia="Songti SC Regular" w:cs="宋体"/>
                <w:kern w:val="0"/>
                <w:sz w:val="24"/>
                <w:szCs w:val="24"/>
              </w:rPr>
              <w:t>海淀区学工委教师红十字应急救护培训志愿服务队</w:t>
            </w:r>
          </w:p>
        </w:tc>
        <w:tc>
          <w:tcPr>
            <w:tcW w:w="2978"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刘东冬</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郎恩鸽</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30</w:t>
            </w:r>
          </w:p>
        </w:tc>
        <w:tc>
          <w:tcPr>
            <w:tcW w:w="2419" w:type="dxa"/>
            <w:tcMar>
              <w:top w:w="0" w:type="dxa"/>
              <w:left w:w="0" w:type="dxa"/>
              <w:bottom w:w="0" w:type="dxa"/>
              <w:right w:w="0" w:type="dxa"/>
            </w:tcMar>
            <w:vAlign w:val="center"/>
          </w:tcPr>
          <w:p>
            <w:pPr>
              <w:pStyle w:val="5"/>
              <w:spacing w:beforeAutospacing="0" w:afterAutospacing="0" w:line="480" w:lineRule="auto"/>
              <w:jc w:val="center"/>
              <w:rPr>
                <w:rFonts w:ascii="Songti SC Regular" w:hAnsi="Songti SC Regular" w:eastAsia="Songti SC Regular" w:cs="Times New Roman"/>
              </w:rPr>
            </w:pPr>
            <w:r>
              <w:rPr>
                <w:rFonts w:hint="eastAsia" w:ascii="Songti SC Regular" w:hAnsi="Songti SC Regular" w:eastAsia="Songti SC Regular" w:cs="宋体"/>
              </w:rPr>
              <w:t>人民国肽集团</w:t>
            </w:r>
          </w:p>
        </w:tc>
        <w:tc>
          <w:tcPr>
            <w:tcW w:w="2978" w:type="dxa"/>
            <w:tcMar>
              <w:top w:w="0" w:type="dxa"/>
              <w:left w:w="0" w:type="dxa"/>
              <w:bottom w:w="0" w:type="dxa"/>
              <w:right w:w="0" w:type="dxa"/>
            </w:tcMar>
            <w:vAlign w:val="center"/>
          </w:tcPr>
          <w:p>
            <w:pPr>
              <w:widowControl/>
              <w:jc w:val="center"/>
              <w:textAlignment w:val="center"/>
              <w:rPr>
                <w:rFonts w:ascii="Songti SC Regular" w:hAnsi="Songti SC Regular" w:eastAsia="Songti SC Regular" w:cs="Times New Roman"/>
              </w:rPr>
            </w:pPr>
            <w:r>
              <w:rPr>
                <w:rFonts w:hint="eastAsia" w:ascii="Songti SC Regular" w:hAnsi="Songti SC Regular" w:eastAsia="Songti SC Regular" w:cs="宋体"/>
                <w:color w:val="000000"/>
                <w:kern w:val="0"/>
                <w:sz w:val="22"/>
                <w:szCs w:val="22"/>
              </w:rPr>
              <w:t>李建琪</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9635" w:type="dxa"/>
            <w:gridSpan w:val="5"/>
            <w:tcMar>
              <w:top w:w="0" w:type="dxa"/>
              <w:left w:w="0" w:type="dxa"/>
              <w:bottom w:w="0" w:type="dxa"/>
              <w:right w:w="0" w:type="dxa"/>
            </w:tcMar>
            <w:vAlign w:val="center"/>
          </w:tcPr>
          <w:p>
            <w:pPr>
              <w:widowControl/>
              <w:tabs>
                <w:tab w:val="left" w:pos="3872"/>
              </w:tabs>
              <w:jc w:val="left"/>
              <w:textAlignment w:val="center"/>
              <w:rPr>
                <w:rFonts w:ascii="Songti SC Regular" w:hAnsi="Songti SC Regular" w:eastAsia="Songti SC Regular" w:cs="Times New Roman"/>
                <w:color w:val="000000"/>
                <w:kern w:val="0"/>
                <w:sz w:val="22"/>
                <w:szCs w:val="22"/>
              </w:rPr>
            </w:pPr>
            <w:r>
              <w:rPr>
                <w:rFonts w:ascii="Songti SC Regular" w:hAnsi="Songti SC Regular" w:eastAsia="Songti SC Regular" w:cs="Times New Roman"/>
                <w:color w:val="000000"/>
                <w:kern w:val="0"/>
                <w:sz w:val="22"/>
                <w:szCs w:val="22"/>
              </w:rPr>
              <w:tab/>
            </w:r>
            <w:r>
              <w:rPr>
                <w:rFonts w:hint="eastAsia" w:ascii="Songti SC Regular" w:hAnsi="Songti SC Regular" w:eastAsia="Songti SC Regular" w:cs="宋体"/>
                <w:color w:val="000000"/>
                <w:kern w:val="0"/>
                <w:sz w:val="22"/>
                <w:szCs w:val="22"/>
              </w:rPr>
              <w:t>备选名单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唐武</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45</w:t>
            </w:r>
          </w:p>
        </w:tc>
        <w:tc>
          <w:tcPr>
            <w:tcW w:w="2419" w:type="dxa"/>
            <w:tcMar>
              <w:top w:w="0" w:type="dxa"/>
              <w:left w:w="0" w:type="dxa"/>
              <w:bottom w:w="0" w:type="dxa"/>
              <w:right w:w="0" w:type="dxa"/>
            </w:tcMar>
            <w:vAlign w:val="center"/>
          </w:tcPr>
          <w:p>
            <w:pPr>
              <w:pStyle w:val="5"/>
              <w:spacing w:beforeAutospacing="0" w:afterAutospacing="0" w:line="480" w:lineRule="auto"/>
              <w:jc w:val="center"/>
              <w:rPr>
                <w:rFonts w:ascii="Songti SC Regular" w:hAnsi="Songti SC Regular" w:eastAsia="Songti SC Regular" w:cs="Times New Roman"/>
              </w:rPr>
            </w:pPr>
            <w:r>
              <w:rPr>
                <w:rFonts w:hint="eastAsia" w:ascii="Songti SC Regular" w:hAnsi="Songti SC Regular" w:eastAsia="Songti SC Regular" w:cs="宋体"/>
              </w:rPr>
              <w:t>和旗袍护水慈善义工服务队</w:t>
            </w:r>
          </w:p>
        </w:tc>
        <w:tc>
          <w:tcPr>
            <w:tcW w:w="2978" w:type="dxa"/>
            <w:tcMar>
              <w:top w:w="0" w:type="dxa"/>
              <w:left w:w="0" w:type="dxa"/>
              <w:bottom w:w="0" w:type="dxa"/>
              <w:right w:w="0" w:type="dxa"/>
            </w:tcMar>
            <w:vAlign w:val="center"/>
          </w:tcPr>
          <w:p>
            <w:pPr>
              <w:widowControl/>
              <w:jc w:val="center"/>
              <w:textAlignment w:val="center"/>
              <w:rPr>
                <w:rFonts w:ascii="Songti SC Regular" w:hAnsi="Songti SC Regular" w:eastAsia="Songti SC Regular" w:cs="Times New Roman"/>
                <w:color w:val="000000"/>
                <w:kern w:val="0"/>
                <w:sz w:val="22"/>
                <w:szCs w:val="22"/>
              </w:rPr>
            </w:pPr>
            <w:r>
              <w:rPr>
                <w:rFonts w:hint="eastAsia" w:ascii="Songti SC Regular" w:hAnsi="Songti SC Regular" w:eastAsia="Songti SC Regular" w:cs="宋体"/>
                <w:color w:val="000000"/>
                <w:kern w:val="0"/>
                <w:sz w:val="24"/>
                <w:szCs w:val="24"/>
              </w:rPr>
              <w:t>陈新兰</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酆伟</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b/>
                <w:bCs/>
                <w:kern w:val="0"/>
                <w:sz w:val="24"/>
                <w:szCs w:val="24"/>
              </w:rPr>
            </w:pPr>
            <w:r>
              <w:rPr>
                <w:rFonts w:ascii="Songti SC Regular" w:hAnsi="Songti SC Regular" w:eastAsia="Songti SC Regular" w:cs="宋体"/>
                <w:kern w:val="0"/>
                <w:sz w:val="24"/>
                <w:szCs w:val="24"/>
              </w:rPr>
              <w:t>37</w:t>
            </w:r>
          </w:p>
        </w:tc>
        <w:tc>
          <w:tcPr>
            <w:tcW w:w="2419" w:type="dxa"/>
            <w:tcMar>
              <w:top w:w="0" w:type="dxa"/>
              <w:left w:w="0" w:type="dxa"/>
              <w:bottom w:w="0" w:type="dxa"/>
              <w:right w:w="0" w:type="dxa"/>
            </w:tcMar>
            <w:vAlign w:val="center"/>
          </w:tcPr>
          <w:p>
            <w:pPr>
              <w:pStyle w:val="5"/>
              <w:spacing w:beforeAutospacing="0" w:afterAutospacing="0" w:line="480" w:lineRule="auto"/>
              <w:jc w:val="center"/>
              <w:rPr>
                <w:rFonts w:ascii="Songti SC Regular" w:hAnsi="Songti SC Regular" w:eastAsia="Songti SC Regular" w:cs="Times New Roman"/>
              </w:rPr>
            </w:pPr>
            <w:r>
              <w:rPr>
                <w:rFonts w:hint="eastAsia" w:ascii="Songti SC Regular" w:hAnsi="Songti SC Regular" w:eastAsia="Songti SC Regular" w:cs="宋体"/>
              </w:rPr>
              <w:t>北京邮电大学人文学院文馨志愿者协会</w:t>
            </w:r>
          </w:p>
        </w:tc>
        <w:tc>
          <w:tcPr>
            <w:tcW w:w="2978" w:type="dxa"/>
            <w:tcMar>
              <w:top w:w="0" w:type="dxa"/>
              <w:left w:w="0" w:type="dxa"/>
              <w:bottom w:w="0" w:type="dxa"/>
              <w:right w:w="0" w:type="dxa"/>
            </w:tcMar>
            <w:vAlign w:val="center"/>
          </w:tcPr>
          <w:p>
            <w:pPr>
              <w:widowControl/>
              <w:jc w:val="center"/>
              <w:textAlignment w:val="center"/>
              <w:rPr>
                <w:rFonts w:ascii="Songti SC Regular" w:hAnsi="Songti SC Regular" w:eastAsia="Songti SC Regular" w:cs="Times New Roman"/>
                <w:color w:val="000000"/>
                <w:kern w:val="0"/>
                <w:sz w:val="22"/>
                <w:szCs w:val="22"/>
              </w:rPr>
            </w:pPr>
            <w:r>
              <w:rPr>
                <w:rFonts w:hint="eastAsia" w:ascii="Songti SC Regular" w:hAnsi="Songti SC Regular" w:eastAsia="Songti SC Regular" w:cs="宋体"/>
                <w:color w:val="000000"/>
                <w:kern w:val="0"/>
                <w:sz w:val="22"/>
                <w:szCs w:val="22"/>
              </w:rPr>
              <w:t>王伊妮</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blCellSpacing w:w="15" w:type="dxa"/>
          <w:jc w:val="center"/>
        </w:trPr>
        <w:tc>
          <w:tcPr>
            <w:tcW w:w="1374"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李桂生</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hint="eastAsia" w:ascii="Songti SC Regular" w:hAnsi="Songti SC Regular" w:eastAsia="Songti SC Regular" w:cs="宋体"/>
                <w:kern w:val="0"/>
                <w:sz w:val="24"/>
                <w:szCs w:val="24"/>
              </w:rPr>
              <w:t>男</w:t>
            </w:r>
          </w:p>
        </w:tc>
        <w:tc>
          <w:tcPr>
            <w:tcW w:w="1372" w:type="dxa"/>
            <w:tcMar>
              <w:top w:w="0" w:type="dxa"/>
              <w:left w:w="0" w:type="dxa"/>
              <w:bottom w:w="0" w:type="dxa"/>
              <w:right w:w="0" w:type="dxa"/>
            </w:tcMar>
            <w:vAlign w:val="center"/>
          </w:tcPr>
          <w:p>
            <w:pPr>
              <w:widowControl/>
              <w:jc w:val="center"/>
              <w:rPr>
                <w:rFonts w:ascii="Songti SC Regular" w:hAnsi="Songti SC Regular" w:eastAsia="Songti SC Regular" w:cs="Times New Roman"/>
                <w:kern w:val="0"/>
                <w:sz w:val="24"/>
                <w:szCs w:val="24"/>
              </w:rPr>
            </w:pPr>
            <w:r>
              <w:rPr>
                <w:rFonts w:ascii="Songti SC Regular" w:hAnsi="Songti SC Regular" w:eastAsia="Songti SC Regular" w:cs="宋体"/>
                <w:kern w:val="0"/>
                <w:sz w:val="24"/>
                <w:szCs w:val="24"/>
              </w:rPr>
              <w:t>54</w:t>
            </w:r>
          </w:p>
        </w:tc>
        <w:tc>
          <w:tcPr>
            <w:tcW w:w="2419" w:type="dxa"/>
            <w:tcMar>
              <w:top w:w="0" w:type="dxa"/>
              <w:left w:w="0" w:type="dxa"/>
              <w:bottom w:w="0" w:type="dxa"/>
              <w:right w:w="0" w:type="dxa"/>
            </w:tcMar>
            <w:vAlign w:val="center"/>
          </w:tcPr>
          <w:p>
            <w:pPr>
              <w:pStyle w:val="5"/>
              <w:spacing w:beforeAutospacing="0" w:afterAutospacing="0" w:line="480" w:lineRule="auto"/>
              <w:jc w:val="center"/>
              <w:rPr>
                <w:rFonts w:ascii="Songti SC Regular" w:hAnsi="Songti SC Regular" w:eastAsia="Songti SC Regular" w:cs="Times New Roman"/>
              </w:rPr>
            </w:pPr>
            <w:r>
              <w:rPr>
                <w:rFonts w:hint="eastAsia" w:ascii="Songti SC Regular" w:hAnsi="Songti SC Regular" w:eastAsia="Songti SC Regular" w:cs="宋体"/>
                <w:color w:val="000000"/>
              </w:rPr>
              <w:t>北京城市学院志愿服务队</w:t>
            </w:r>
          </w:p>
        </w:tc>
        <w:tc>
          <w:tcPr>
            <w:tcW w:w="2978" w:type="dxa"/>
            <w:tcMar>
              <w:top w:w="0" w:type="dxa"/>
              <w:left w:w="0" w:type="dxa"/>
              <w:bottom w:w="0" w:type="dxa"/>
              <w:right w:w="0" w:type="dxa"/>
            </w:tcMar>
            <w:vAlign w:val="center"/>
          </w:tcPr>
          <w:p>
            <w:pPr>
              <w:widowControl/>
              <w:jc w:val="center"/>
              <w:textAlignment w:val="center"/>
              <w:rPr>
                <w:rFonts w:ascii="Songti SC Regular" w:hAnsi="Songti SC Regular" w:eastAsia="Songti SC Regular" w:cs="Times New Roman"/>
                <w:color w:val="000000"/>
                <w:kern w:val="0"/>
                <w:sz w:val="22"/>
                <w:szCs w:val="22"/>
              </w:rPr>
            </w:pPr>
            <w:r>
              <w:rPr>
                <w:rFonts w:hint="eastAsia" w:ascii="Songti SC Regular" w:hAnsi="Songti SC Regular" w:eastAsia="Songti SC Regular" w:cs="宋体"/>
                <w:color w:val="000000"/>
                <w:kern w:val="0"/>
                <w:sz w:val="22"/>
                <w:szCs w:val="22"/>
              </w:rPr>
              <w:t>赵芳芳</w:t>
            </w:r>
          </w:p>
        </w:tc>
      </w:tr>
    </w:tbl>
    <w:p>
      <w:pPr>
        <w:rPr>
          <w:rFonts w:ascii="微软雅黑" w:hAnsi="微软雅黑" w:eastAsia="微软雅黑" w:cs="Times New Roman"/>
        </w:rPr>
      </w:pPr>
    </w:p>
    <w:p>
      <w:pPr>
        <w:widowControl/>
        <w:spacing w:line="450" w:lineRule="atLeast"/>
        <w:jc w:val="center"/>
        <w:rPr>
          <w:rFonts w:ascii="Arial" w:hAnsi="Arial" w:cs="Arial"/>
          <w:color w:val="333333"/>
          <w:kern w:val="0"/>
        </w:rPr>
      </w:pPr>
    </w:p>
    <w:p>
      <w:pPr>
        <w:widowControl/>
        <w:jc w:val="center"/>
        <w:rPr>
          <w:rFonts w:ascii="宋体" w:hAnsi="宋体" w:cs="Times New Roman"/>
          <w:b/>
          <w:bCs/>
          <w:color w:val="000000"/>
          <w:kern w:val="0"/>
          <w:sz w:val="32"/>
          <w:szCs w:val="32"/>
        </w:rPr>
      </w:pPr>
      <w:r>
        <w:rPr>
          <w:rFonts w:hint="eastAsia" w:ascii="宋体" w:hAnsi="宋体" w:cs="Times New Roman"/>
          <w:b/>
          <w:bCs/>
          <w:color w:val="000000"/>
          <w:kern w:val="0"/>
          <w:sz w:val="32"/>
          <w:szCs w:val="32"/>
        </w:rPr>
        <w:t>第七届“最美慈善义工榜样人物”名单</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sz w:val="24"/>
                <w:szCs w:val="24"/>
              </w:rPr>
              <w:t>姓名</w:t>
            </w:r>
          </w:p>
        </w:tc>
        <w:tc>
          <w:tcPr>
            <w:tcW w:w="7654" w:type="dxa"/>
            <w:gridSpan w:val="2"/>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sz w:val="24"/>
                <w:szCs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沈腾</w:t>
            </w:r>
            <w:r>
              <w:rPr>
                <w:rFonts w:hint="eastAsia" w:ascii="微软雅黑" w:hAnsi="微软雅黑" w:eastAsia="微软雅黑" w:cs="微软雅黑"/>
                <w:b w:val="0"/>
                <w:bCs/>
                <w:color w:val="000000"/>
                <w:kern w:val="0"/>
                <w:sz w:val="24"/>
                <w:szCs w:val="24"/>
              </w:rPr>
              <w:br w:type="textWrapping"/>
            </w:r>
          </w:p>
        </w:tc>
        <w:tc>
          <w:tcPr>
            <w:tcW w:w="7654" w:type="dxa"/>
            <w:gridSpan w:val="2"/>
          </w:tcPr>
          <w:p>
            <w:pPr>
              <w:widowControl/>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先后荣获全国优秀律师、团中央“青年之声”服务体系优秀个人和建设优秀专家、中国政法大学首届“百名杰出校友;首都五一劳动奖章、首届北京市参政议政服务发展同心奖先进个人、北京榜样人物、北京市优秀律师、北京市百名优秀刑辩律师、北京市法律援助之星、北京市律师协会行业发展贡献奖、北京市律师行业党建之友;海淀区十大金牌律师、海淀区法律援助之星、争先创优先进个人等。多年来一直从事公益法律诉讼，拥有众多经典公益案例。运用职业能力，促进法律制度完善。自费拍摄并主演了公益题材网络电影律师侠，在央视等多家媒体进行播放，社会反映强烈。</w:t>
            </w:r>
          </w:p>
          <w:p>
            <w:pPr>
              <w:widowControl/>
              <w:rPr>
                <w:rFonts w:hint="eastAsia" w:ascii="微软雅黑" w:hAnsi="微软雅黑" w:eastAsia="微软雅黑" w:cs="微软雅黑"/>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沙有威</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2012年退休后发起“烛光义教”公益支教活动，是《烛光义教》个人公益活动和机器人《烛光实验室》公益项目的创始人，也是欣欣教育基金会和向荣基金会的义工。沙有威的烛光义教活动于2012年开始实施，今年已经是第七个年头了，多年来沙老师自驾6万多公里，自费在全国的71个地区的143所学校义务上课328节，为两万多学生讲了“机器人科普课”与多地区的教师们开展了教学交流活动，每到一所学校上课，他都会请学校为自己的纪念册盖上一个学校的印章以作留念。目前沙老师按照计划已经完成了11个阶段的支教远程自驾出行，为了使烛光义教公益活动实现从个人行为向社会行为的转换，他还倡导推动了针对农村偏远地区学校科技教育的烛光实验室公益捐赠项目，并自费为农村学校捐赠了一个机器人烛光实验室。沙有威倡导并希望有更多的爱心人士参与到烛光义教公益活动中来，为农村偏远地区孩子享有现代教育做出自己的努力。</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高大勇</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sz w:val="24"/>
                <w:szCs w:val="24"/>
              </w:rPr>
              <w:t>十多年来他坚持贫困特、困群体帮扶，重大灾害的援助等方面慈善公益行为，个人先后捐款、捐物合计达150余万元。十多年来长期致力于北京慈善义工事业的发展，通过个人魅力及志愿行为，影响和带动了数千人及数百家企业加入到慈善义工大家庭，他们在法律、环境、教育、弱势群体关爱、应急救援等多方面开展志愿服务活动，已然成为北京志愿服务事业中一股不可忽视的力量。他总说，个人的力量有限，但我会把有限的力量通过志愿服务传递给身边的每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富翔</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个人累计志愿者工作时长3000余小时，自2015年起的4年内，利用每一个周末的业余时间组织队友去晨光脑瘫儿童康复中心陪护那里的脑瘫儿童。尝试组织带领孩子外出实践，教孩子们如何乘坐公共交通，如何办理银行业务、如何去商超购物、如何去医院就诊等日常生活必备的知识，仅2016年就带领20位脑瘫儿童外出10余次。而后的几年也一直在为孩子们拓展新的外出实践活动。脑瘫患儿的成长不仅需要外出实践和学习，也需要一定的经济支持，由于中心内很多孩子是孤儿，他们的生活得不到保障，为了让他们继续生活，自2015年起，我个人累计捐赠人民币7.8万元，同时向社会各界募集善款52万元，全部用于孤残儿童的康复及生活使用。2018年帮助晨光脑瘫儿童康复中心募集演出资金，于12月3日在北京地区上演了脑瘫儿童主演的公益话剧《特别的礼物》，让社会大众认识脑瘫儿童意识到他们的存在认可他们的价值。</w:t>
            </w:r>
          </w:p>
          <w:p>
            <w:pPr>
              <w:widowControl/>
              <w:rPr>
                <w:rFonts w:hint="eastAsia" w:ascii="微软雅黑" w:hAnsi="微软雅黑" w:eastAsia="微软雅黑" w:cs="微软雅黑"/>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顾虹</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2013北京榜样</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2017年度中国健康公益星十大公益人物</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2004年放弃国外高薪待遇，回国为我国小儿先心病治疗贡献力量。在北京安贞医院工作的顾虹带领团队，对西藏先天性心脏病患儿进行普查和治疗。15年来，17次无偿进藏，克服了缺氧和高原反应带来的身体不适，对上万名西藏先心病儿童进行了筛查和治疗。在拉萨完成先心病介入手术数十例，至今保持着高原地区日行6台先心病手术的纪录，并在北京安贞医院为近200名西藏患儿实施了手术。多次组织和参与对困难西藏患儿的救助活动，被西藏人称为“北京来的活菩萨”</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李锐</w:t>
            </w:r>
            <w:r>
              <w:rPr>
                <w:rFonts w:hint="eastAsia" w:ascii="微软雅黑" w:hAnsi="微软雅黑" w:eastAsia="微软雅黑" w:cs="微软雅黑"/>
                <w:b w:val="0"/>
                <w:bCs/>
                <w:color w:val="000000"/>
                <w:kern w:val="0"/>
                <w:sz w:val="24"/>
                <w:szCs w:val="24"/>
              </w:rPr>
              <w:br w:type="textWrapping"/>
            </w: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中共党员，现任北京电台新闻广播节目部副主任，曾荣获三次中国新闻奖、三次中国广播影视大奖，两次中国国际广播新闻奖一等奖，先后入选北京市宣传系统“百人工程”、“爱国奉献典型人才”。李锐常年坚持深入一线，带领报道团队“走转改”，他参与策划组织的大型人物评选活动“北京榜样”，多年来在全市树立了一批弘扬社会主义核心价值观的典型人物，向社会传递正能量。多年来，李锐坚持以志愿者身份帮扶山区孤寡老人，定期给老人送生活费、日用品，还资助失明儿童助其完成学业，赢得社会赞誉。</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姜莉</w:t>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姜莉一方面通过带领儿童参加义卖义演、环境保护等公益活动，发扬慈善义工精神，弘扬社会正能量。另一方面，为受助儿童发声，呼吁并联合社会企业、机构、会员共同发起图书馆众筹、校园饮水计划众筹、山区交流行、儿童护牙等公益活动，积极改善山区儿童学习环境和传播儿童健康口腔知识，用心温暖心，用爱造就爱，让奉献、感恩、分享和温暖的精神品质深植于每个孩子和家庭中。分会自成立三年来，姜莉共带领儿童开展公益活动千余场，区域遍及北京各区县，直接或间接地影响了近20万人投身公益；同时为24所学校安装健康净水设备，5所学校筹建图书馆，4800多名在校学生直接受益。作为亿天使分会的会长，姜莉一直把“只为亿万孩子更好成长”作为自己的公益使命。</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黄金伶</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中共党员，北京市慈善义工联合会第一批党建指导员，金伶舞蹈慈善义工队队长队，业余舞蹈老师。曾经在良乡艺术团担任副队长，多次主持人带领四个团队出去义务演出，多次参加公交分公司大型演出。牵头成立了“金伶舞蹈慈善义工服务队”。作为队长、作为团队的党建工作指导员，不忘初心砥砺前行。带领团队义工，始终发扬“平等、互助、奉献、进步”的精神，作为慈善义工的我们，首先从自身做起，以实际行动来感染身边人，投身到公益事业中来，贡献出自己微薄的力量，以丰富多彩的义工活动为载体，服务群众、服务弱势群体、服务社会。带领团队队员先后多次到敬老院慰问孤寡老人、为生活不能自理的老人义务服务，到张各庄地铁站及长阳地铁站摆放单车等公共服务；到儿童福利院慰问孩子，为孩子们义务演出；曾多次为贫困山区的孩子们捐书捐物；参与环保活动，控烟专项活动。多次参加与慈善义工联合协共同组织的大型活动——文物保护宣传活动等，同时负责卢沟桥文保及环保任务等；多次去社区各个幼儿园给孩子们讲安全知识课，让祖国未来的花朵懂得《珍爱性命，安全从我做起》，每每穿着红马甲站在讲台的义工们各个神采飞扬，以此为傲，以此为荣。</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刘禹豪</w:t>
            </w:r>
            <w:r>
              <w:rPr>
                <w:rFonts w:hint="eastAsia" w:ascii="微软雅黑" w:hAnsi="微软雅黑" w:eastAsia="微软雅黑" w:cs="微软雅黑"/>
                <w:b w:val="0"/>
                <w:bCs/>
                <w:color w:val="000000"/>
                <w:kern w:val="0"/>
                <w:sz w:val="24"/>
                <w:szCs w:val="24"/>
              </w:rPr>
              <w:br w:type="textWrapping"/>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从事公益5年，帮扶孤寡、残障、特困等弱势群体，提出了“阳光伴行计划”第一步通过个人的关怀给予对方温暖，并为受益人群建立个人档案。第二步是重拾信心证明自我，让他们自力更生。只有自力更生，通过自己的能力，改善自己的生活才是重拾信心的根本。摆脱现状的最好办法就是创造价值。近两年四处奔走，对北京周边的残疾人再就业成功案例进行考察并分析，走访了多肉养殖园、爱心农场、学习了手工皂等物品加工制作、与房山区的博物馆探讨残疾人讲解员可能性、观看并交流了残疾人为主题的话剧、舞蹈等演出活动。19年将会针对残疾人的特点，携手他们创造价值，已经开展了部分手工制作加工项目，并帮助其推广销售。第三步将会是爱的传递，身的证明。当他们可以通过自己的能力改变了自己的命运后，邀请他们加入公益大家庭，通过他们的亲身经历带动和传播给更多的有需要人。</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郎恩鸽</w:t>
            </w:r>
            <w:r>
              <w:rPr>
                <w:rFonts w:hint="eastAsia" w:ascii="微软雅黑" w:hAnsi="微软雅黑" w:eastAsia="微软雅黑" w:cs="微软雅黑"/>
                <w:b w:val="0"/>
                <w:bCs/>
                <w:color w:val="000000"/>
                <w:kern w:val="0"/>
                <w:sz w:val="24"/>
                <w:szCs w:val="24"/>
              </w:rPr>
              <w:br w:type="textWrapping"/>
            </w: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带领队员在西大庄科参加蔡奇书记座谈会，蔡奇书记指出带动更多人吃上冰雪饭。参加北京市市委宣传部和北京冬奥组委联合成立的冬奥宣讲团，共计宣讲40次，宣讲人群有校园、机关、街道、社区、新疆阿勒泰。入选延庆榜样候选人，在2018北京榜样大型主题活动中，荣获2018年度十大北京榜样。2019年2月授予时代楷模称呼。协助培训小学生1000人次，培训青年志愿者4200人次，培训张山营镇中青年农民滑雪600人次，其他团队培训700人次，协助延庆团区委培训青年志愿者夏季旱滑300人次，培训滑雪6800人次。</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3"/>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第七届“最美慈善义工榜样人物”备选名单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酆伟</w:t>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作为基金会的运营总监为桂馨基金会累计公益支出5374万元，设立公益项目专项基金2356万元，已在全国19个省（市）、74 个县实施教育公益项目499个，已累计有6784人次志愿者在桂馨公益项目中贡献了113.1万个小时的志愿服务，惠及乡村师生1,265,520人。</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唐武</w:t>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先后荣获北京市组织献血先进工作者，北京高校优秀辅导员，北京联合大学优秀共产党员，党建工作先进个人，优秀党务工作者，“十佳辅导员”，暑期社会实践优秀指导教师等多项荣誉称号。曾先后参与科研项目13项，其中北京市社科基金1项，北京市教委课题1项；在公开发行的学术期刊发表与所从事的学科有关论文13篇，其中2篇核心期刊论文；主编和参与编写专著5部，主编1部。主要研究房山、平西地区的非物质文化遗产传承与保护，现正在主持编写红色平西抗战故事项目，并负责编写平西第一抗日模范村村志。</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李桂生</w:t>
            </w:r>
          </w:p>
          <w:p>
            <w:pPr>
              <w:widowControl/>
              <w:jc w:val="center"/>
              <w:rPr>
                <w:rFonts w:hint="eastAsia" w:ascii="微软雅黑" w:hAnsi="微软雅黑" w:eastAsia="微软雅黑" w:cs="微软雅黑"/>
                <w:b w:val="0"/>
                <w:bCs/>
                <w:color w:val="000000"/>
                <w:kern w:val="0"/>
                <w:sz w:val="24"/>
                <w:szCs w:val="24"/>
              </w:rPr>
            </w:pPr>
          </w:p>
        </w:tc>
        <w:tc>
          <w:tcPr>
            <w:tcW w:w="7654" w:type="dxa"/>
            <w:gridSpan w:val="2"/>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恒基兆业投资集团有限公司董事长李桂生带领公司员工从2009年坚持做公益事业，积极从事环保、交通文明劝导、助老助幼等社会公益活动。十年来，先后组织人员6万人次，组织活动300百多场次，捡拾白色垃圾2000余公斤，向孤寡老人及贫困家庭累计捐款捐物折合人民币60余万元。</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3"/>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sz w:val="24"/>
                <w:szCs w:val="24"/>
              </w:rPr>
              <w:t>第七届“最美慈善义工榜样团体”名单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团队名称</w:t>
            </w:r>
          </w:p>
        </w:tc>
        <w:tc>
          <w:tcPr>
            <w:tcW w:w="7229" w:type="dxa"/>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p>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北京市女企业家协会志愿服务总队</w:t>
            </w:r>
            <w:r>
              <w:rPr>
                <w:rFonts w:hint="eastAsia" w:ascii="微软雅黑" w:hAnsi="微软雅黑" w:eastAsia="微软雅黑" w:cs="微软雅黑"/>
                <w:b w:val="0"/>
                <w:bCs/>
                <w:color w:val="000000"/>
                <w:kern w:val="0"/>
                <w:sz w:val="24"/>
                <w:szCs w:val="24"/>
              </w:rPr>
              <w:br w:type="textWrapping"/>
            </w:r>
          </w:p>
        </w:tc>
        <w:tc>
          <w:tcPr>
            <w:tcW w:w="7229" w:type="dxa"/>
          </w:tcPr>
          <w:p>
            <w:pPr>
              <w:widowControl/>
              <w:jc w:val="left"/>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北京市女企业家协会始建于1988年，迄今已走过三十年的光辉历程。协会现有427家会员企业。</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北京市女企业家协会是中国女企业家协会和北京市妇联的团体会员、北京企业联合会成员、北京市民间组织国际交流协会会员单位。曾荣获“北京市社会组织示范基地”、“全国妇联巾帼文明岗”、北京市妇联“三•八红旗集体”、“北京市企业家联合会优秀企协奖”，并三次荣获“中国女企业家协会先进集体”等荣誉称号。协会于2013年通过北京市市级社会组织评估，被评为5A级社会组织。</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协会拥有一批来自国有、股份制、民营企业等各行各业的优秀女性代表，她们中不乏劳动模范、三八红旗手，人大代表，政协委员，全国和北京市妇代会代表。三十年来，北京市女企业家协会坚持为政府、为女企业家、为会员企业服务的宗旨，紧紧围绕宣传、教育、维护、服务的工作方针，为会员开展了丰富多彩、卓有成效的活动，努力为会员搭建扩大视野、广揽信息、促进发展、广交朋友的平台，推动会员履行社会责任，为把协会办成女企业家的“一座桥”、“一所学校”、“一个家”的工作目标而努力，为首都经济发展、社会和谐与进步做出积极贡献。</w:t>
            </w:r>
          </w:p>
          <w:p>
            <w:pPr>
              <w:widowControl/>
              <w:jc w:val="center"/>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人民国肽集团</w:t>
            </w:r>
            <w:r>
              <w:rPr>
                <w:rFonts w:hint="eastAsia" w:ascii="微软雅黑" w:hAnsi="微软雅黑" w:eastAsia="微软雅黑" w:cs="微软雅黑"/>
                <w:b w:val="0"/>
                <w:bCs/>
                <w:color w:val="000000"/>
                <w:kern w:val="0"/>
                <w:sz w:val="24"/>
                <w:szCs w:val="24"/>
              </w:rPr>
              <w:br w:type="textWrapping"/>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人民国肽集团，是一家以生物活性肽营养食品、功能性食品、特殊医学用途食品和多肽类蛋白药物研发生产为主业，横跨生物医药、体育与影视文化、电子商务、国际贸易等多元化发展的高新技术企业。</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秉承“张弛有道，恒者善行”，坚持“孝行天下，广敬博爱”，人民国肽打造有温度的国民健康品牌，联合中华慈善总会设立“人民国肽·爱心基金”，建立长效帮扶机制。2015年来已累计为老弱病残穷等困难群体和军人警察等捐赠款物超过3亿元。2月6日，人民国肽成立中华慈善总会·人民国肽爱心基金成立仪式，未来每年将以不低于200万元的投入帮助贫困家庭先天性心脏病儿童。</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北京市慈善义工联合会风之彩分会</w:t>
            </w:r>
            <w:r>
              <w:rPr>
                <w:rFonts w:hint="eastAsia" w:ascii="微软雅黑" w:hAnsi="微软雅黑" w:eastAsia="微软雅黑" w:cs="微软雅黑"/>
                <w:b w:val="0"/>
                <w:bCs/>
                <w:color w:val="000000"/>
                <w:kern w:val="0"/>
                <w:sz w:val="24"/>
                <w:szCs w:val="24"/>
              </w:rPr>
              <w:br w:type="textWrapping"/>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市慈善义工联合会风之彩慈善义工服务队成立以来，本着“善与慈，爱于心；我参与，我奉献，我快乐”的宗旨，多次组织关爱空巢老人，慰问残疾贫困户活动。每次活动参与者有大中小学生、退休职工和社会各界爱心人士，深入房山十渡革命老区马鞍山村，为老人、残疾人、贫困老人服务，内容丰富多彩，如包饺子、表演节目、量血压、打扫卫生，同时带去各界爱心人士捐助的米、油、蛋、洗衣液等生活必需品，为老人们献上爱心。</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风之彩慈善义工服务队在树立大环境意识，保护生态环境方面，本着面向大众，服务大众的原则，以提升广大民众的环保意识，促进人人参与环境保护作为活动的动力，定期去牛口峪水库湿地公园和白水寺森林公园、房山石霞路风景区进行垃圾拾捡和保护文物古迹生态环境等宣传活动，从而使十霞路风景更美，湿地公园景色更加怡人，为祖国的青山绿水添砖加瓦。</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北京义联劳动法援助与研究中心</w:t>
            </w:r>
            <w:r>
              <w:rPr>
                <w:rFonts w:hint="eastAsia" w:ascii="微软雅黑" w:hAnsi="微软雅黑" w:eastAsia="微软雅黑" w:cs="微软雅黑"/>
                <w:b w:val="0"/>
                <w:bCs/>
                <w:color w:val="000000"/>
                <w:kern w:val="0"/>
                <w:sz w:val="24"/>
                <w:szCs w:val="24"/>
              </w:rPr>
              <w:br w:type="textWrapping"/>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义联中心成立十一年来，为超过18万的职工提供法律咨询、法律培训、案件代理等服务；代理案件近万件，为职工挽回经济损失超过4亿元人民币；成功处理十人以上群体性案件112件；参与十余部法律法规的立法修法工作，提出立法修法建议132条，被采纳的超过40条，推动了我国劳动立法的进步和完善。义联的工作得到了时任全国人大常委会副委员长王兆国同志及多位北京市领导的批示。</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义联的工作得到了党和政府的肯定，多次被评为全国法律援助先进集体、北京市法律援助先进集体、模范集体等。把握“两个维护”，搭建立体化法律援助服务模式，全力做好法律援助基础性工作，维护受援人合法权益。义联在工作中始终把握“两个维护”的原则，即维护社会和谐稳定、维护受援人合法权益，把维权与维稳相结合，取得了积极的社会成效。成立十一年来，义联积极贯彻落实司法部关于“做大做强做优”法律援助工作的指导精神，全心全意做好法律援助工作，形成了以案件援助、法律咨询、法律宣传为主要内容的公益法律服务框架，搭建了综合性、立体化法律援助服务模式，满足受援群体多元化的法律援助服务需求。十一年来，义联共计受理各类法律援助案件近万件，为受援对象挽回经济损失超过4亿元人民币，解答各类法律咨询超过18万人次，开展法律宣传和法律讲座超过150场次，免费发放法律宣传手册15万余册。</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北京北广传媒数字电视公司</w:t>
            </w:r>
            <w:r>
              <w:rPr>
                <w:rFonts w:hint="eastAsia" w:ascii="微软雅黑" w:hAnsi="微软雅黑" w:eastAsia="微软雅黑" w:cs="微软雅黑"/>
                <w:b w:val="0"/>
                <w:bCs/>
                <w:color w:val="000000"/>
                <w:kern w:val="0"/>
                <w:sz w:val="24"/>
                <w:szCs w:val="24"/>
              </w:rPr>
              <w:br w:type="textWrapping"/>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北广传媒数字电视公司多年来一直致力于公益传播，打造了“公益北京”系列节目为政府管理部门、公益组织、受助群体和爱心企业搭建一个公益信息沟通与爱心互助平台。自2011年2月开播以来，“公益北京”以公益宣传和资金扶持相结合为特色，已形成包括新闻资讯、新闻专题、演播室访谈和大型电视活动在内的内容丰富、形式多样的专业化公益节目集群。截至2018年12月，报道公益活动500余场次，介绍公益组织300余个，采访公益人物300余位。开展“福送万家”社区公益活动，制作公益课堂专题节目150分钟；组织记者、编辑积极响应“美丽乡村·筑梦有我”主持人牵手乡村大型电视公益活动，与昌平区南口镇长水峪村结对，开展乡村旅游、农产品宣传、资助贫困大学生等帮扶活动。</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北京海鹰脊柱健康公益基金会</w:t>
            </w:r>
            <w:r>
              <w:rPr>
                <w:rFonts w:hint="eastAsia" w:ascii="微软雅黑" w:hAnsi="微软雅黑" w:eastAsia="微软雅黑" w:cs="微软雅黑"/>
                <w:b w:val="0"/>
                <w:bCs/>
                <w:color w:val="000000"/>
                <w:kern w:val="0"/>
                <w:sz w:val="24"/>
                <w:szCs w:val="24"/>
              </w:rPr>
              <w:br w:type="textWrapping"/>
            </w: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基金会近七年深入祖国中西部贫困地区，足迹遍布青海、新疆、云南、宁夏、河南、河北、山西、贵州、黑龙江、内蒙、四川、西藏等13个省份39个贫困县市，先后为4000余名脊柱病患者进行义诊。为缺医少药的基层老百姓普及健康知识、讲解疾病预防。义务为贫困县乡8所中小学进行脊柱相关疾病的健康普查和建档工作。</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通过组织联办讲座、论坛、讲解手术等方式，对400余名基层医生进行有针对性的小班培训，其中有数十位基层骨科医生成长为学科带头人。帮助超过15个贫困县打造骨科医护团队，实现“不走的健康扶贫专家”。</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利用个人社会影响和亲手治愈病患的爱心捐赠，募集善款超过700万元，全部用于脊柱贫病患者手术和康复救治。</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海淀区学工委教师红十字应急救护培训志愿服务队</w:t>
            </w:r>
            <w:r>
              <w:rPr>
                <w:rFonts w:hint="eastAsia" w:ascii="微软雅黑" w:hAnsi="微软雅黑" w:eastAsia="微软雅黑" w:cs="微软雅黑"/>
                <w:b w:val="0"/>
                <w:bCs/>
                <w:color w:val="000000"/>
                <w:kern w:val="0"/>
                <w:sz w:val="24"/>
                <w:szCs w:val="24"/>
              </w:rPr>
              <w:br w:type="textWrapping"/>
            </w: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红十字教师应急救护培训志愿服务队成立于2016年。近40名骨干师资常年活跃在全区近200所中小学校开展红十字文化传播和师生生命安全教育，并走进社区，文化中心、友邻单位、雄安新区教育局开展生命安全教育，取得非常好的效果，“蓝马甲”志愿服务团队得到社会和广大市民的认可，2016年“蓝马甲”团队被评为北京市青年文明号优秀团队，宣传照片喷绘在622路公交车身穿城宣传，多家媒体宣传报道。2016年，海淀区学工委开展了3批140余人的红十字教师急救师资队伍建设培训，通过急救师资的培训，让海淀区中小学幼儿园的老师们发挥作用，营造“人人学急救，急救为人人”的氛围，让更多的人在遇到意外伤害时都能伸出援助之手，挽救生命。骨干老师们回到工作岗位，学以致用，无论是在工作中还是生活中，都积极开展红十字文化传播和普及应急救护的培训，让区学工委“青年文明号”的影响力成为名副其实的优秀团队。“蓝马甲”团队还利用宣传平台，先后创建了红豆兄弟、红豆姐妹（育鹰小学）、红豆青年、苏小爱、东实小红豆、红豆宝宝、红小龙、红豆外外、红豆精灵等”微信公众号，将红十字文化与志愿服务理念大力推广，为建设健康中国做贡献。人民网、中国教育报、中国红十字报、北京晨报、海淀报等多家媒体持续关注报道。很多学校教师、友邻单位领导、职工、家长们对“蓝马甲”团队的规范、严谨、敬业、务实点赞，通过关注公众号学习红十字知识和急救常识后纷纷表示：海淀教育对于应急救护普及工作开展的特别到位，特别扎实，特别实用，让他们感受到急救知识和技能不仅仅是医护人员才具备的“超能力”而是每个人都要具备的，掌握正确急救的方法，可以挽回宝贵的生命，救人救急还可以救自己。</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北京春苗慈善基金会</w:t>
            </w:r>
            <w:r>
              <w:rPr>
                <w:rFonts w:hint="eastAsia" w:ascii="微软雅黑" w:hAnsi="微软雅黑" w:eastAsia="微软雅黑" w:cs="微软雅黑"/>
                <w:b w:val="0"/>
                <w:bCs/>
                <w:color w:val="000000"/>
                <w:kern w:val="0"/>
                <w:sz w:val="24"/>
                <w:szCs w:val="24"/>
              </w:rPr>
              <w:br w:type="textWrapping"/>
            </w:r>
          </w:p>
        </w:tc>
        <w:tc>
          <w:tcPr>
            <w:tcW w:w="7229" w:type="dxa"/>
          </w:tcPr>
          <w:p>
            <w:pPr>
              <w:widowControl/>
              <w:tabs>
                <w:tab w:val="left" w:pos="1312"/>
              </w:tabs>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ab/>
            </w: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具有公募资质的民间慈善组织，苗通过8年的公益实践，逐渐形成一套“产-教-研”一体的慈善服务体系。 春苗18年9月更名后，还将为致力于在扶贫、助医、助学、助老、助残、社工服务等与春苗业务范围相关的社会组织，提供公募支持及赋能培训等服务。从而发挥扶危济困、解决社会问题的使命，在更广的领域中实现愿景。</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截至2018年12月31日，春苗全职团队108人，救助并服务患有先天性疾病的困境儿童累计达17740人次。在中国基金会指数透明度评分中获得满分，排名第一。2015年12月，春苗基金会作为第一个民间背景的非公募基金会上榜福布斯公益透明榜100名，位列25名。2018年9月3日发布的“中国慈善信用榜”，春苗基金会凭借良好的公信力、透明度、品牌及社会影响力，在该榜单“民间筹款型慈善机构”排名第七。</w:t>
            </w:r>
          </w:p>
          <w:p>
            <w:pPr>
              <w:widowControl/>
              <w:tabs>
                <w:tab w:val="left" w:pos="1312"/>
              </w:tabs>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“光明影院”项目团队</w:t>
            </w:r>
            <w:r>
              <w:rPr>
                <w:rFonts w:hint="eastAsia" w:ascii="微软雅黑" w:hAnsi="微软雅黑" w:eastAsia="微软雅黑" w:cs="微软雅黑"/>
                <w:b w:val="0"/>
                <w:bCs/>
                <w:color w:val="000000"/>
                <w:kern w:val="0"/>
                <w:sz w:val="24"/>
                <w:szCs w:val="24"/>
              </w:rPr>
              <w:br w:type="textWrapping"/>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为构筑一条“文化盲道”，中国传媒大学电视学院与歌华有线、东方嘉影共同推出“光明影院”项目，为视障人士释读电影，打造无障碍电影。目前，项目团队已将30部无障碍电影赠予全国盲校和高校图书馆，与视障朋友共享新时代的文化成果。2019年两会期间，全国人大代表、电影导演贾樟柯提出了《关于发展我国无障碍电影事业的议案》，特别提到中国传媒大学电视学院倡导的“光明影院”项目，号召社会各界关心、支持无障碍电影。截至目前，“光明影院”项目团队已经完成《战狼2》《建军大业》《我的战争》《无问西东》《大唐玄奘》等60部无障碍电影。“光明影院”项目成果已赠予全国20所盲校（或相关管理部门），以及近70家全国高校图书馆。在全国各地举行专场放映近50场。项目团队计划于2019年“全国助残日”推出104部作品，打造“光明影院”百部工程，与视障朋友共享新时代的文化成果。</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公交集团客运三分公司“最美职工”宣讲团</w:t>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公交集团客三分公司“最美职工”宣讲团共有15名团员组成。这15名团员，均是来自北京公交一线的职工，有驾驶员、售票员、调度员。他们还有一个共同点，他们都是一线工作中的佼佼者，业务上的行家里手，企业中的劳模先进。他们中有“北京榜样”刘宝中、有全国驾驶员技能大赛第一名孙琦峰、有北京公交著名的“男子汉”车组成员商旭、崔志勇。</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3"/>
          </w:tcPr>
          <w:p>
            <w:pPr>
              <w:widowControl/>
              <w:jc w:val="center"/>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sz w:val="24"/>
                <w:szCs w:val="24"/>
              </w:rPr>
              <w:t>第七届“最美慈善义工榜样团体”备选名单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北京邮电大学人文学院文馨志愿者协会</w:t>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文馨志愿者协会是在北京邮电大学人文学院团委的领导下，由热衷于社会公益，热爱社会公益事业的人文学院学生组成。文馨志协是面向全校，面向社会的青年公益团体，是院内负责规划和统筹青年志愿工作者志愿活动的专门机构，是校内一支优秀的志愿服务团队。本协会通过组织校内志愿者进行社会服务以及公益活动来培养青年的公民意识、奉献精神和服务能力，促进青年健康成长，同时为创造和谐校园和构建和谐社会增添一份力量。2013、2015、2016李大钊故居中英文讲解被评校级优秀志愿服务项目</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2014、2015关爱听障儿童服务项目获校级五佳志愿服务项目</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2016文华小学大学游活动获校“邮愿创新”奖</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2016年北京市太阳花年度优秀志愿团队</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2017年地铁枢纽志愿服务项目获校级五佳志愿服务项目</w:t>
            </w:r>
          </w:p>
          <w:p>
            <w:pPr>
              <w:widowControl/>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北京城市学院志愿服务队</w:t>
            </w:r>
          </w:p>
          <w:p>
            <w:pPr>
              <w:widowControl/>
              <w:rPr>
                <w:rFonts w:hint="eastAsia" w:ascii="微软雅黑" w:hAnsi="微软雅黑" w:eastAsia="微软雅黑" w:cs="微软雅黑"/>
                <w:b w:val="0"/>
                <w:bCs/>
                <w:color w:val="000000"/>
                <w:kern w:val="0"/>
                <w:sz w:val="24"/>
                <w:szCs w:val="24"/>
              </w:rPr>
            </w:pPr>
          </w:p>
        </w:tc>
        <w:tc>
          <w:tcPr>
            <w:tcW w:w="7229" w:type="dxa"/>
          </w:tcPr>
          <w:p>
            <w:pPr>
              <w:widowControl/>
              <w:tabs>
                <w:tab w:val="left" w:pos="1120"/>
              </w:tabs>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北京城市学院志愿服务队秉承学校理念，积极服务社会，奉献社会。连续参与寒暑假及“小长假”北京西站、北京南站铁路志愿服务工作。志愿者们在假期中牺牲自己的休息时间，为北京铁路“春运”、“小长假往返程”做出突出贡献，不论是北京南站的道路指引，休息室、服务站服务，地铁票引导购买，亦或是北京西站检票查票，道路指引，都体现了北京城市学院志愿者“奉献、有爱、互助、进步”的志愿者精神。积极参与暑期社会实践活动，到河北省沽源县西辛营乡及内蒙古赤峰市白音沟两所小学进行社会实践活动。为当地的孩子们带去各类支教课程和活动，不仅体验支教生活，也让孩子们看看外面的世界。</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志愿者积极融入社会生活，奉献自己的休息时间积极参与到志愿服务活动中来，为更多陌生人奉献自己的微博之力。如今服务队累计服务时长115168小时，志愿者为每一个需要帮助的人送上祝福与帮助，他们在岗位上收获的每一句谢谢，也是对志愿者最好的祝福。</w:t>
            </w:r>
          </w:p>
          <w:p>
            <w:pPr>
              <w:widowControl/>
              <w:tabs>
                <w:tab w:val="left" w:pos="1120"/>
              </w:tabs>
              <w:rPr>
                <w:rFonts w:hint="eastAsia" w:ascii="微软雅黑" w:hAnsi="微软雅黑" w:eastAsia="微软雅黑" w:cs="微软雅黑"/>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tcPr>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p>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旗袍护水慈善义工服务队</w:t>
            </w:r>
          </w:p>
          <w:p>
            <w:pPr>
              <w:widowControl/>
              <w:rPr>
                <w:rFonts w:hint="eastAsia" w:ascii="微软雅黑" w:hAnsi="微软雅黑" w:eastAsia="微软雅黑" w:cs="微软雅黑"/>
                <w:b w:val="0"/>
                <w:bCs/>
                <w:color w:val="000000"/>
                <w:kern w:val="0"/>
                <w:sz w:val="24"/>
                <w:szCs w:val="24"/>
              </w:rPr>
            </w:pPr>
          </w:p>
        </w:tc>
        <w:tc>
          <w:tcPr>
            <w:tcW w:w="7229" w:type="dxa"/>
          </w:tcPr>
          <w:p>
            <w:pPr>
              <w:widowControl/>
              <w:rPr>
                <w:rFonts w:hint="eastAsia" w:ascii="微软雅黑" w:hAnsi="微软雅黑" w:eastAsia="微软雅黑" w:cs="微软雅黑"/>
                <w:b w:val="0"/>
                <w:bCs/>
                <w:color w:val="000000"/>
                <w:kern w:val="0"/>
                <w:sz w:val="24"/>
                <w:szCs w:val="24"/>
              </w:rPr>
            </w:pPr>
            <w:r>
              <w:rPr>
                <w:rFonts w:hint="eastAsia" w:ascii="微软雅黑" w:hAnsi="微软雅黑" w:eastAsia="微软雅黑" w:cs="微软雅黑"/>
                <w:b w:val="0"/>
                <w:bCs/>
                <w:color w:val="000000"/>
                <w:kern w:val="0"/>
                <w:sz w:val="24"/>
                <w:szCs w:val="24"/>
              </w:rPr>
              <w:t>自成立以来，将每周六做为固定活动日，在天气允许的情况下，坚持在北京的通惠河、亮马河、西坝河、广渠门户城河、等水系岸边捡拾垃圾、发放宣传资料，向群众宣传环保意识，倡导人们“蓝色地球村-点滴公益情-爱护水资源从我做起”。这项义工活动已经成为维护北京水环境的固定项目，弥补了政府有关部门在维护水资源环境方面的缺失和不足。</w:t>
            </w:r>
            <w:r>
              <w:rPr>
                <w:rFonts w:hint="eastAsia" w:ascii="微软雅黑" w:hAnsi="微软雅黑" w:eastAsia="微软雅黑" w:cs="微软雅黑"/>
                <w:b w:val="0"/>
                <w:bCs/>
                <w:color w:val="000000"/>
                <w:kern w:val="0"/>
                <w:sz w:val="24"/>
                <w:szCs w:val="24"/>
              </w:rPr>
              <w:br w:type="textWrapping"/>
            </w:r>
            <w:r>
              <w:rPr>
                <w:rFonts w:hint="eastAsia" w:ascii="微软雅黑" w:hAnsi="微软雅黑" w:eastAsia="微软雅黑" w:cs="微软雅黑"/>
                <w:b w:val="0"/>
                <w:bCs/>
                <w:color w:val="000000"/>
                <w:kern w:val="0"/>
                <w:sz w:val="24"/>
                <w:szCs w:val="24"/>
              </w:rPr>
              <w:t>每次活动时，护水队都要打起“旗袍护水慈善义工服务队”的旗帜。在队旗的指引下，身穿义工红马甲的队员们边捡垃圾边向遇见的人进行简要的环保宣传，成为一道别致的风景。在二年多的护水活动中，义工们不计报酬，甘于奉献的精神感动了越来越多的身边人，不断吸引着有爱心的市民加入到项目中来，至今已有万余人次参与护水公益活动。</w:t>
            </w:r>
          </w:p>
          <w:p>
            <w:pPr>
              <w:widowControl/>
              <w:rPr>
                <w:rFonts w:hint="eastAsia" w:ascii="微软雅黑" w:hAnsi="微软雅黑" w:eastAsia="微软雅黑" w:cs="微软雅黑"/>
                <w:b w:val="0"/>
                <w:bCs/>
                <w:color w:val="000000"/>
                <w:kern w:val="0"/>
                <w:sz w:val="24"/>
                <w:szCs w:val="24"/>
              </w:rPr>
            </w:pPr>
          </w:p>
        </w:tc>
      </w:tr>
    </w:tbl>
    <w:p>
      <w:pPr>
        <w:widowControl/>
        <w:jc w:val="center"/>
        <w:rPr>
          <w:rFonts w:ascii="宋体" w:hAnsi="宋体" w:cs="Times New Roman"/>
          <w:b/>
          <w:bCs/>
          <w:color w:val="000000"/>
          <w:kern w:val="0"/>
          <w:sz w:val="32"/>
          <w:szCs w:val="32"/>
        </w:rPr>
      </w:pPr>
    </w:p>
    <w:p>
      <w:pPr>
        <w:widowControl/>
        <w:spacing w:line="450" w:lineRule="atLeast"/>
        <w:jc w:val="center"/>
        <w:rPr>
          <w:rFonts w:ascii="Arial" w:hAnsi="Arial" w:cs="Arial"/>
          <w:color w:val="333333"/>
          <w:kern w:val="0"/>
        </w:rPr>
      </w:pPr>
    </w:p>
    <w:sectPr>
      <w:pgSz w:w="11906" w:h="16838"/>
      <w:pgMar w:top="1021" w:right="1191"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Songti SC Regular">
    <w:altName w:val="华文细黑"/>
    <w:panose1 w:val="02010600040101010101"/>
    <w:charset w:val="50"/>
    <w:family w:val="auto"/>
    <w:pitch w:val="default"/>
    <w:sig w:usb0="00000000" w:usb1="00000000" w:usb2="00000010" w:usb3="00000000" w:csb0="0004009F" w:csb1="00000000"/>
  </w:font>
  <w:font w:name="微软雅黑">
    <w:panose1 w:val="020B0503020204020204"/>
    <w:charset w:val="50"/>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细黑">
    <w:panose1 w:val="02010600040101010101"/>
    <w:charset w:val="50"/>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9C"/>
    <w:rsid w:val="000F63CF"/>
    <w:rsid w:val="00156DE2"/>
    <w:rsid w:val="00247835"/>
    <w:rsid w:val="002B487C"/>
    <w:rsid w:val="002D05BC"/>
    <w:rsid w:val="002E045A"/>
    <w:rsid w:val="00304271"/>
    <w:rsid w:val="00315A76"/>
    <w:rsid w:val="00334B60"/>
    <w:rsid w:val="00350CCF"/>
    <w:rsid w:val="00364FE8"/>
    <w:rsid w:val="00402406"/>
    <w:rsid w:val="0047669C"/>
    <w:rsid w:val="004C40F5"/>
    <w:rsid w:val="004F7689"/>
    <w:rsid w:val="00620260"/>
    <w:rsid w:val="00655527"/>
    <w:rsid w:val="006C35AF"/>
    <w:rsid w:val="006C5774"/>
    <w:rsid w:val="006E42D2"/>
    <w:rsid w:val="006F48D8"/>
    <w:rsid w:val="00704D1D"/>
    <w:rsid w:val="00725344"/>
    <w:rsid w:val="007A52CA"/>
    <w:rsid w:val="008A6279"/>
    <w:rsid w:val="009A28F0"/>
    <w:rsid w:val="009D4757"/>
    <w:rsid w:val="00A34262"/>
    <w:rsid w:val="00A45386"/>
    <w:rsid w:val="00A612F3"/>
    <w:rsid w:val="00B5396F"/>
    <w:rsid w:val="00B9109E"/>
    <w:rsid w:val="00C456D3"/>
    <w:rsid w:val="00CC08EB"/>
    <w:rsid w:val="00CF09AD"/>
    <w:rsid w:val="00D428BD"/>
    <w:rsid w:val="00DB2C7F"/>
    <w:rsid w:val="00DD246A"/>
    <w:rsid w:val="00E601E0"/>
    <w:rsid w:val="00EB59BE"/>
    <w:rsid w:val="00ED17FA"/>
    <w:rsid w:val="00F03294"/>
    <w:rsid w:val="00F32480"/>
    <w:rsid w:val="00F816E6"/>
    <w:rsid w:val="00F96DCB"/>
    <w:rsid w:val="00FC3CD1"/>
    <w:rsid w:val="00FD6673"/>
    <w:rsid w:val="032E0786"/>
    <w:rsid w:val="0BCA70F2"/>
    <w:rsid w:val="11811E52"/>
    <w:rsid w:val="1206429D"/>
    <w:rsid w:val="127569D9"/>
    <w:rsid w:val="235377BC"/>
    <w:rsid w:val="26571D11"/>
    <w:rsid w:val="28613213"/>
    <w:rsid w:val="29973C90"/>
    <w:rsid w:val="2A315B29"/>
    <w:rsid w:val="2B037B45"/>
    <w:rsid w:val="2D0E258F"/>
    <w:rsid w:val="306A66AC"/>
    <w:rsid w:val="3A130EDF"/>
    <w:rsid w:val="3D890016"/>
    <w:rsid w:val="3E8560A3"/>
    <w:rsid w:val="4371782D"/>
    <w:rsid w:val="4A434764"/>
    <w:rsid w:val="4B544B39"/>
    <w:rsid w:val="5BA63659"/>
    <w:rsid w:val="5C194BE1"/>
    <w:rsid w:val="5FE13D32"/>
    <w:rsid w:val="66626DDB"/>
    <w:rsid w:val="6A7A76C5"/>
    <w:rsid w:val="71D10BEB"/>
    <w:rsid w:val="738B7C44"/>
    <w:rsid w:val="756676DF"/>
    <w:rsid w:val="76276654"/>
    <w:rsid w:val="7C861B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qFormat="1"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spacing w:beforeAutospacing="1" w:afterAutospacing="1"/>
      <w:jc w:val="left"/>
      <w:outlineLvl w:val="0"/>
    </w:pPr>
    <w:rPr>
      <w:rFonts w:ascii="宋体" w:hAnsi="宋体" w:cs="宋体"/>
      <w:b/>
      <w:bCs/>
      <w:kern w:val="44"/>
      <w:sz w:val="48"/>
      <w:szCs w:val="48"/>
    </w:rPr>
  </w:style>
  <w:style w:type="paragraph" w:styleId="3">
    <w:name w:val="heading 3"/>
    <w:basedOn w:val="1"/>
    <w:next w:val="1"/>
    <w:link w:val="20"/>
    <w:qFormat/>
    <w:uiPriority w:val="99"/>
    <w:pPr>
      <w:spacing w:beforeAutospacing="1" w:afterAutospacing="1"/>
      <w:jc w:val="left"/>
      <w:outlineLvl w:val="2"/>
    </w:pPr>
    <w:rPr>
      <w:rFonts w:ascii="宋体" w:hAnsi="宋体" w:cs="宋体"/>
      <w:b/>
      <w:bCs/>
      <w:kern w:val="0"/>
      <w:sz w:val="27"/>
      <w:szCs w:val="27"/>
    </w:rPr>
  </w:style>
  <w:style w:type="paragraph" w:styleId="4">
    <w:name w:val="heading 4"/>
    <w:basedOn w:val="1"/>
    <w:next w:val="1"/>
    <w:link w:val="21"/>
    <w:qFormat/>
    <w:uiPriority w:val="99"/>
    <w:pPr>
      <w:spacing w:beforeAutospacing="1" w:afterAutospacing="1"/>
      <w:jc w:val="left"/>
      <w:outlineLvl w:val="3"/>
    </w:pPr>
    <w:rPr>
      <w:rFonts w:ascii="宋体" w:hAnsi="宋体" w:cs="宋体"/>
      <w:b/>
      <w:bCs/>
      <w:kern w:val="0"/>
      <w:sz w:val="24"/>
      <w:szCs w:val="24"/>
    </w:rPr>
  </w:style>
  <w:style w:type="character" w:default="1" w:styleId="1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
    <w:name w:val="Light Shading"/>
    <w:basedOn w:val="6"/>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9">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0">
    <w:name w:val="Light List Accent 6"/>
    <w:basedOn w:val="6"/>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1">
    <w:name w:val="Light Grid"/>
    <w:basedOn w:val="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2">
    <w:name w:val="Medium List 2 Accent 4"/>
    <w:basedOn w:val="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styleId="14">
    <w:name w:val="Strong"/>
    <w:basedOn w:val="13"/>
    <w:qFormat/>
    <w:uiPriority w:val="99"/>
    <w:rPr>
      <w:b/>
      <w:bCs/>
    </w:rPr>
  </w:style>
  <w:style w:type="character" w:styleId="15">
    <w:name w:val="FollowedHyperlink"/>
    <w:basedOn w:val="13"/>
    <w:qFormat/>
    <w:uiPriority w:val="99"/>
    <w:rPr>
      <w:color w:val="000000"/>
      <w:u w:val="none"/>
    </w:rPr>
  </w:style>
  <w:style w:type="character" w:styleId="16">
    <w:name w:val="Emphasis"/>
    <w:basedOn w:val="13"/>
    <w:qFormat/>
    <w:uiPriority w:val="99"/>
    <w:rPr>
      <w:i/>
      <w:iCs/>
    </w:rPr>
  </w:style>
  <w:style w:type="character" w:styleId="17">
    <w:name w:val="HTML Variable"/>
    <w:basedOn w:val="13"/>
    <w:qFormat/>
    <w:uiPriority w:val="99"/>
    <w:rPr>
      <w:i/>
      <w:iCs/>
    </w:rPr>
  </w:style>
  <w:style w:type="character" w:styleId="18">
    <w:name w:val="Hyperlink"/>
    <w:basedOn w:val="13"/>
    <w:qFormat/>
    <w:uiPriority w:val="99"/>
    <w:rPr>
      <w:color w:val="0000FF"/>
      <w:u w:val="single"/>
    </w:rPr>
  </w:style>
  <w:style w:type="character" w:customStyle="1" w:styleId="19">
    <w:name w:val="标题 1字符"/>
    <w:basedOn w:val="13"/>
    <w:link w:val="2"/>
    <w:qFormat/>
    <w:locked/>
    <w:uiPriority w:val="99"/>
    <w:rPr>
      <w:b/>
      <w:bCs/>
      <w:kern w:val="44"/>
      <w:sz w:val="44"/>
      <w:szCs w:val="44"/>
    </w:rPr>
  </w:style>
  <w:style w:type="character" w:customStyle="1" w:styleId="20">
    <w:name w:val="标题 3字符"/>
    <w:basedOn w:val="13"/>
    <w:link w:val="3"/>
    <w:semiHidden/>
    <w:qFormat/>
    <w:locked/>
    <w:uiPriority w:val="99"/>
    <w:rPr>
      <w:b/>
      <w:bCs/>
      <w:sz w:val="32"/>
      <w:szCs w:val="32"/>
    </w:rPr>
  </w:style>
  <w:style w:type="character" w:customStyle="1" w:styleId="21">
    <w:name w:val="标题 4字符"/>
    <w:basedOn w:val="13"/>
    <w:link w:val="4"/>
    <w:semiHidden/>
    <w:qFormat/>
    <w:locked/>
    <w:uiPriority w:val="99"/>
    <w:rPr>
      <w:rFonts w:ascii="Cambria" w:hAnsi="Cambria" w:eastAsia="宋体" w:cs="Cambria"/>
      <w:b/>
      <w:bCs/>
      <w:sz w:val="28"/>
      <w:szCs w:val="28"/>
    </w:rPr>
  </w:style>
  <w:style w:type="paragraph" w:customStyle="1" w:styleId="22">
    <w:name w:val="fl"/>
    <w:basedOn w:val="1"/>
    <w:qFormat/>
    <w:uiPriority w:val="99"/>
    <w:pPr>
      <w:jc w:val="left"/>
    </w:pPr>
    <w:rPr>
      <w:kern w:val="0"/>
    </w:rPr>
  </w:style>
  <w:style w:type="character" w:customStyle="1" w:styleId="23">
    <w:name w:val="fr1"/>
    <w:basedOn w:val="1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5C317-B8C8-3441-8F52-F66C7894BD8F}">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1488</Words>
  <Characters>8485</Characters>
  <Lines>70</Lines>
  <Paragraphs>19</Paragraphs>
  <TotalTime>82</TotalTime>
  <ScaleCrop>false</ScaleCrop>
  <LinksUpToDate>false</LinksUpToDate>
  <CharactersWithSpaces>9954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2019-03-23T06:03:00Z</dcterms:created>
  <dc:creator>Administrator</dc:creator>
  <cp:lastModifiedBy>Lenovo</cp:lastModifiedBy>
  <dcterms:modified xsi:type="dcterms:W3CDTF">2019-03-25T03:49:39Z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